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A0"/>
      </w:tblPr>
      <w:tblGrid>
        <w:gridCol w:w="6062"/>
        <w:gridCol w:w="3514"/>
      </w:tblGrid>
      <w:tr w:rsidR="00871BD1">
        <w:tc>
          <w:tcPr>
            <w:tcW w:w="6062" w:type="dxa"/>
          </w:tcPr>
          <w:p w:rsidR="00871BD1" w:rsidRDefault="00094F94" w:rsidP="008D77FF">
            <w:r>
              <w:rPr>
                <w:noProof/>
                <w:lang w:val="en-US" w:eastAsia="en-US"/>
              </w:rPr>
              <w:drawing>
                <wp:inline distT="0" distB="0" distL="0" distR="0">
                  <wp:extent cx="2220595" cy="510540"/>
                  <wp:effectExtent l="19050" t="0" r="8255" b="0"/>
                  <wp:docPr id="1" name="Picture 0" descr="logo_new2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ogo_new2007.jpg"/>
                          <pic:cNvPicPr>
                            <a:picLocks noChangeAspect="1" noChangeArrowheads="1"/>
                          </pic:cNvPicPr>
                        </pic:nvPicPr>
                        <pic:blipFill>
                          <a:blip r:embed="rId6"/>
                          <a:srcRect/>
                          <a:stretch>
                            <a:fillRect/>
                          </a:stretch>
                        </pic:blipFill>
                        <pic:spPr bwMode="auto">
                          <a:xfrm>
                            <a:off x="0" y="0"/>
                            <a:ext cx="2220595" cy="510540"/>
                          </a:xfrm>
                          <a:prstGeom prst="rect">
                            <a:avLst/>
                          </a:prstGeom>
                          <a:noFill/>
                          <a:ln w="9525">
                            <a:noFill/>
                            <a:miter lim="800000"/>
                            <a:headEnd/>
                            <a:tailEnd/>
                          </a:ln>
                        </pic:spPr>
                      </pic:pic>
                    </a:graphicData>
                  </a:graphic>
                </wp:inline>
              </w:drawing>
            </w:r>
          </w:p>
        </w:tc>
        <w:tc>
          <w:tcPr>
            <w:tcW w:w="3514" w:type="dxa"/>
            <w:vAlign w:val="center"/>
          </w:tcPr>
          <w:p w:rsidR="00871BD1" w:rsidRPr="00E27D7C" w:rsidRDefault="00871BD1" w:rsidP="00E27D7C">
            <w:pPr>
              <w:spacing w:after="0"/>
              <w:jc w:val="left"/>
              <w:rPr>
                <w:sz w:val="20"/>
                <w:szCs w:val="20"/>
              </w:rPr>
            </w:pPr>
            <w:r w:rsidRPr="00E27D7C">
              <w:rPr>
                <w:sz w:val="20"/>
                <w:szCs w:val="20"/>
              </w:rPr>
              <w:t>IN42A: Evaluación de Proyectos</w:t>
            </w:r>
          </w:p>
          <w:p w:rsidR="00871BD1" w:rsidRPr="00E27D7C" w:rsidRDefault="00871BD1" w:rsidP="00E27D7C">
            <w:pPr>
              <w:spacing w:after="0"/>
              <w:jc w:val="left"/>
              <w:rPr>
                <w:sz w:val="20"/>
                <w:szCs w:val="20"/>
              </w:rPr>
            </w:pPr>
            <w:r w:rsidRPr="00E27D7C">
              <w:rPr>
                <w:sz w:val="20"/>
                <w:szCs w:val="20"/>
              </w:rPr>
              <w:t xml:space="preserve">Profesor: Loreto </w:t>
            </w:r>
            <w:proofErr w:type="spellStart"/>
            <w:r w:rsidRPr="00E27D7C">
              <w:rPr>
                <w:sz w:val="20"/>
                <w:szCs w:val="20"/>
              </w:rPr>
              <w:t>Tamblay</w:t>
            </w:r>
            <w:proofErr w:type="spellEnd"/>
            <w:r w:rsidRPr="00E27D7C">
              <w:rPr>
                <w:sz w:val="20"/>
                <w:szCs w:val="20"/>
              </w:rPr>
              <w:t xml:space="preserve"> M.</w:t>
            </w:r>
          </w:p>
          <w:p w:rsidR="00871BD1" w:rsidRDefault="00871BD1" w:rsidP="00E27D7C">
            <w:pPr>
              <w:spacing w:after="0"/>
              <w:jc w:val="left"/>
            </w:pPr>
            <w:r w:rsidRPr="00E27D7C">
              <w:rPr>
                <w:sz w:val="20"/>
                <w:szCs w:val="20"/>
              </w:rPr>
              <w:t xml:space="preserve">Auxiliar: Carlos </w:t>
            </w:r>
            <w:proofErr w:type="spellStart"/>
            <w:r w:rsidRPr="00E27D7C">
              <w:rPr>
                <w:sz w:val="20"/>
                <w:szCs w:val="20"/>
              </w:rPr>
              <w:t>Schaaf</w:t>
            </w:r>
            <w:proofErr w:type="spellEnd"/>
            <w:r w:rsidRPr="00E27D7C">
              <w:rPr>
                <w:sz w:val="20"/>
                <w:szCs w:val="20"/>
              </w:rPr>
              <w:t xml:space="preserve"> R.</w:t>
            </w:r>
          </w:p>
        </w:tc>
      </w:tr>
    </w:tbl>
    <w:p w:rsidR="00871BD1" w:rsidRDefault="00871BD1" w:rsidP="008D77FF"/>
    <w:p w:rsidR="00871BD1" w:rsidRDefault="00871BD1" w:rsidP="00C44444">
      <w:pPr>
        <w:jc w:val="center"/>
        <w:rPr>
          <w:b/>
          <w:bCs/>
          <w:sz w:val="24"/>
          <w:szCs w:val="24"/>
        </w:rPr>
      </w:pPr>
      <w:r w:rsidRPr="00C44444">
        <w:rPr>
          <w:sz w:val="40"/>
          <w:szCs w:val="40"/>
        </w:rPr>
        <w:t xml:space="preserve">Control </w:t>
      </w:r>
      <w:r w:rsidR="00F40FCD">
        <w:rPr>
          <w:sz w:val="40"/>
          <w:szCs w:val="40"/>
        </w:rPr>
        <w:t>2</w:t>
      </w:r>
      <w:r>
        <w:rPr>
          <w:sz w:val="40"/>
          <w:szCs w:val="40"/>
        </w:rPr>
        <w:br/>
      </w:r>
      <w:r w:rsidR="00F40FCD">
        <w:rPr>
          <w:b/>
          <w:bCs/>
          <w:sz w:val="24"/>
          <w:szCs w:val="24"/>
        </w:rPr>
        <w:t>19</w:t>
      </w:r>
      <w:r w:rsidRPr="00C44444">
        <w:rPr>
          <w:b/>
          <w:bCs/>
          <w:sz w:val="24"/>
          <w:szCs w:val="24"/>
        </w:rPr>
        <w:t xml:space="preserve"> enero 2010</w:t>
      </w:r>
    </w:p>
    <w:p w:rsidR="00871BD1" w:rsidRDefault="00871BD1" w:rsidP="008D77FF">
      <w:pPr>
        <w:pStyle w:val="Heading1"/>
      </w:pPr>
      <w:r>
        <w:t>Pregunta1</w:t>
      </w:r>
    </w:p>
    <w:p w:rsidR="00F651A9" w:rsidRDefault="00F651A9" w:rsidP="00AD6F21">
      <w:pPr>
        <w:pStyle w:val="ListParagraph"/>
        <w:numPr>
          <w:ilvl w:val="0"/>
          <w:numId w:val="18"/>
        </w:numPr>
        <w:ind w:left="357" w:hanging="357"/>
        <w:contextualSpacing/>
      </w:pPr>
      <w:r>
        <w:t xml:space="preserve">Explique brevemente en </w:t>
      </w:r>
      <w:r w:rsidR="00F31250">
        <w:t>qué</w:t>
      </w:r>
      <w:r>
        <w:t xml:space="preserve"> consisten el análisis de escenarios y de simulación. </w:t>
      </w:r>
      <w:r w:rsidR="00F31250">
        <w:t>¿Cuál</w:t>
      </w:r>
      <w:r>
        <w:t xml:space="preserve"> es su relevancia en la evaluación de proyectos?</w:t>
      </w:r>
      <w:r w:rsidR="00F31250">
        <w:t xml:space="preserve"> (2 </w:t>
      </w:r>
      <w:proofErr w:type="spellStart"/>
      <w:r w:rsidR="00F31250">
        <w:t>ptos</w:t>
      </w:r>
      <w:proofErr w:type="spellEnd"/>
      <w:r w:rsidR="00F31250">
        <w:t>.)</w:t>
      </w:r>
    </w:p>
    <w:p w:rsidR="008D70AD" w:rsidRPr="008D70AD" w:rsidRDefault="008D70AD" w:rsidP="00DF5ACB">
      <w:r w:rsidRPr="008D70AD">
        <w:t>Ambos se utilizan para incorporar el riesgo en los flujos de caja del proyecto evaluado.</w:t>
      </w:r>
    </w:p>
    <w:p w:rsidR="00DF5ACB" w:rsidRDefault="00DF5ACB" w:rsidP="00DF5ACB">
      <w:r w:rsidRPr="00DF5ACB">
        <w:rPr>
          <w:u w:val="single"/>
        </w:rPr>
        <w:t>Escenarios</w:t>
      </w:r>
      <w:r>
        <w:t>: Consiste en evaluar el proyecto para determinados conjuntos coherentes de valores de variables inciertas, que definan los escenarios. Estos escenarios se identifican de acuerdo a las variaciones que se esperan de los mercados.</w:t>
      </w:r>
    </w:p>
    <w:p w:rsidR="00DF5ACB" w:rsidRDefault="00DF5ACB" w:rsidP="00DF5ACB">
      <w:r w:rsidRPr="00DF5ACB">
        <w:rPr>
          <w:u w:val="single"/>
        </w:rPr>
        <w:t>Simulación:</w:t>
      </w:r>
      <w:r>
        <w:t xml:space="preserve"> Se modelan las distribuciones estadísticas de cada variable incierta y sus correlaciones. Se generan computacionalmente repetidos valores para cada variable. Con cada valor de la variable se calcula un valor para el flujo de caja, que se actualiza a la tasa libre de riesgo para evitar prejuzgar el riesgo. Se genera una distribución de valores presentes, en donde el valor del proyecto es la media, y el riesgo está dado por la dispersión de la distribución.</w:t>
      </w:r>
    </w:p>
    <w:p w:rsidR="00871BD1" w:rsidRDefault="00F651A9" w:rsidP="00AD6F21">
      <w:pPr>
        <w:pStyle w:val="ListParagraph"/>
        <w:numPr>
          <w:ilvl w:val="0"/>
          <w:numId w:val="18"/>
        </w:numPr>
        <w:ind w:left="357" w:hanging="357"/>
        <w:contextualSpacing/>
      </w:pPr>
      <w:r>
        <w:t xml:space="preserve">Comente: </w:t>
      </w:r>
      <w:r w:rsidR="00596FEE">
        <w:t>Usted tiene dos alternativas de inversión, un bono de gobierno argentino que da 6% anual y un bono del gobierno chileno que da un 3% anual. Si no se espera ninguna variación en el tipo el cambio peso chileno-peso argentino, entonces siempre le convendrá invertir en argentina por que tiene más rentabilidad.</w:t>
      </w:r>
      <w:r w:rsidR="00F31250">
        <w:t xml:space="preserve"> (</w:t>
      </w:r>
      <w:r w:rsidR="008D70AD">
        <w:t>2</w:t>
      </w:r>
      <w:r w:rsidR="00F31250">
        <w:t xml:space="preserve"> </w:t>
      </w:r>
      <w:proofErr w:type="spellStart"/>
      <w:r w:rsidR="00F31250">
        <w:t>pto</w:t>
      </w:r>
      <w:proofErr w:type="spellEnd"/>
      <w:r w:rsidR="00F31250">
        <w:t>.)</w:t>
      </w:r>
    </w:p>
    <w:p w:rsidR="00DF5ACB" w:rsidRDefault="00DF5ACB" w:rsidP="00DF5ACB">
      <w:pPr>
        <w:contextualSpacing/>
      </w:pPr>
      <w:r>
        <w:t>Falso: una mayor rentabilidad esperada se asocia a un mayor riesgo. La elección dependerá de la tasa de sustitución entre riesgo y rentabilidad presente en la función de utilidad de la persona.</w:t>
      </w:r>
    </w:p>
    <w:p w:rsidR="00E66056" w:rsidRDefault="00F651A9" w:rsidP="00AD6F21">
      <w:pPr>
        <w:pStyle w:val="ListParagraph"/>
        <w:numPr>
          <w:ilvl w:val="0"/>
          <w:numId w:val="18"/>
        </w:numPr>
        <w:ind w:left="357" w:hanging="357"/>
        <w:contextualSpacing/>
      </w:pPr>
      <w:r>
        <w:t xml:space="preserve">Comente: </w:t>
      </w:r>
      <w:r w:rsidR="005A205C">
        <w:t>La línea de mercado de capitales está formada por todas las combinaciones posibles entre el activo libre de riesgo y la cartera de mínimo varianza en el mercado (aquella que, consiste en la combinación de activos riesgosos que mínima el riesgo total de la cartera).</w:t>
      </w:r>
      <w:r w:rsidR="00F31250">
        <w:t xml:space="preserve"> (</w:t>
      </w:r>
      <w:r w:rsidR="008D70AD">
        <w:t>2</w:t>
      </w:r>
      <w:r w:rsidR="00F31250">
        <w:t xml:space="preserve"> </w:t>
      </w:r>
      <w:proofErr w:type="spellStart"/>
      <w:r w:rsidR="00F31250">
        <w:t>pto</w:t>
      </w:r>
      <w:proofErr w:type="spellEnd"/>
      <w:r w:rsidR="00F31250">
        <w:t>.)</w:t>
      </w:r>
    </w:p>
    <w:p w:rsidR="00DF5ACB" w:rsidRDefault="00DF5ACB" w:rsidP="00DF5ACB">
      <w:pPr>
        <w:contextualSpacing/>
      </w:pPr>
      <w:r>
        <w:t>Falso: La línea de mercado de capitales está formada por todas las combinaciones posibles entre el activo libre de riesgo y la cartera de mercado, donde la cartera de mercado es aquella que se ubica en el punto de intersección de la línea de que comienza en la Rf y es tangente a la frontera eficiente de inversión. Esta cartera de mercado cumple la cualidad que en combinación con Rf ofrece las alternativas de inversión más eficientes en términos de unidades de rentabilidad por unidad de riesgo.</w:t>
      </w:r>
    </w:p>
    <w:p w:rsidR="00871BD1" w:rsidRDefault="00871BD1" w:rsidP="00E3402F">
      <w:pPr>
        <w:pStyle w:val="Heading1"/>
      </w:pPr>
      <w:r>
        <w:lastRenderedPageBreak/>
        <w:t>Pregunta 2</w:t>
      </w:r>
      <w:r w:rsidR="00717D33">
        <w:t xml:space="preserve"> </w:t>
      </w:r>
    </w:p>
    <w:p w:rsidR="00EB0B22" w:rsidRDefault="00717D33" w:rsidP="00717D33">
      <w:pPr>
        <w:rPr>
          <w:lang w:val="es-ES_tradnl"/>
        </w:rPr>
      </w:pPr>
      <w:r>
        <w:rPr>
          <w:lang w:val="es-ES_tradnl"/>
        </w:rPr>
        <w:t xml:space="preserve">Suponga que </w:t>
      </w:r>
      <w:r w:rsidR="00EB0B22">
        <w:rPr>
          <w:lang w:val="es-ES_tradnl"/>
        </w:rPr>
        <w:t xml:space="preserve">en el mercado </w:t>
      </w:r>
      <w:r w:rsidR="00EA7F48">
        <w:rPr>
          <w:lang w:val="es-ES_tradnl"/>
        </w:rPr>
        <w:t xml:space="preserve">existen </w:t>
      </w:r>
      <w:r w:rsidR="00EB0B22">
        <w:rPr>
          <w:lang w:val="es-ES_tradnl"/>
        </w:rPr>
        <w:t>los siguientes tres activos, donde la rentabilidad y desviación estándar esperada para cada uno, junto a la covarianza entre los activos, se muestran en los cuadros a continuación.</w:t>
      </w:r>
    </w:p>
    <w:tbl>
      <w:tblPr>
        <w:tblStyle w:val="TableGrid"/>
        <w:tblW w:w="0" w:type="auto"/>
        <w:tblInd w:w="108" w:type="dxa"/>
        <w:tblBorders>
          <w:left w:val="none" w:sz="0" w:space="0" w:color="auto"/>
          <w:right w:val="none" w:sz="0" w:space="0" w:color="auto"/>
          <w:insideH w:val="dotted" w:sz="4" w:space="0" w:color="auto"/>
          <w:insideV w:val="none" w:sz="0" w:space="0" w:color="auto"/>
        </w:tblBorders>
        <w:tblLook w:val="04A0"/>
      </w:tblPr>
      <w:tblGrid>
        <w:gridCol w:w="2339"/>
        <w:gridCol w:w="2339"/>
        <w:gridCol w:w="2339"/>
        <w:gridCol w:w="2339"/>
      </w:tblGrid>
      <w:tr w:rsidR="00EB0B22" w:rsidTr="00A66692">
        <w:tc>
          <w:tcPr>
            <w:tcW w:w="2339" w:type="dxa"/>
            <w:tcBorders>
              <w:top w:val="single" w:sz="4" w:space="0" w:color="000000"/>
              <w:bottom w:val="single" w:sz="4" w:space="0" w:color="auto"/>
            </w:tcBorders>
          </w:tcPr>
          <w:p w:rsidR="00EB0B22" w:rsidRPr="007119EA" w:rsidRDefault="00EB0B22" w:rsidP="00C749CE">
            <w:pPr>
              <w:spacing w:after="0"/>
              <w:rPr>
                <w:b/>
                <w:lang w:val="es-ES_tradnl"/>
              </w:rPr>
            </w:pPr>
            <w:r w:rsidRPr="007119EA">
              <w:rPr>
                <w:b/>
                <w:lang w:val="es-ES_tradnl"/>
              </w:rPr>
              <w:t>Instrumento</w:t>
            </w:r>
          </w:p>
        </w:tc>
        <w:tc>
          <w:tcPr>
            <w:tcW w:w="2339" w:type="dxa"/>
            <w:tcBorders>
              <w:top w:val="single" w:sz="4" w:space="0" w:color="000000"/>
              <w:bottom w:val="single" w:sz="4" w:space="0" w:color="auto"/>
            </w:tcBorders>
          </w:tcPr>
          <w:p w:rsidR="00EB0B22" w:rsidRPr="007119EA" w:rsidRDefault="00EB0B22" w:rsidP="00C749CE">
            <w:pPr>
              <w:spacing w:after="0"/>
              <w:jc w:val="center"/>
              <w:rPr>
                <w:b/>
                <w:lang w:val="es-ES_tradnl"/>
              </w:rPr>
            </w:pPr>
            <w:r w:rsidRPr="007119EA">
              <w:rPr>
                <w:b/>
                <w:lang w:val="es-ES_tradnl"/>
              </w:rPr>
              <w:t>Participación</w:t>
            </w:r>
          </w:p>
        </w:tc>
        <w:tc>
          <w:tcPr>
            <w:tcW w:w="2339" w:type="dxa"/>
            <w:tcBorders>
              <w:top w:val="single" w:sz="4" w:space="0" w:color="000000"/>
              <w:bottom w:val="single" w:sz="4" w:space="0" w:color="auto"/>
            </w:tcBorders>
          </w:tcPr>
          <w:p w:rsidR="00EB0B22" w:rsidRPr="007119EA" w:rsidRDefault="00EB0B22" w:rsidP="00C749CE">
            <w:pPr>
              <w:spacing w:after="0"/>
              <w:jc w:val="center"/>
              <w:rPr>
                <w:b/>
                <w:lang w:val="es-ES_tradnl"/>
              </w:rPr>
            </w:pPr>
            <w:r w:rsidRPr="007119EA">
              <w:rPr>
                <w:b/>
                <w:lang w:val="es-ES_tradnl"/>
              </w:rPr>
              <w:t>Rentabilidad</w:t>
            </w:r>
          </w:p>
        </w:tc>
        <w:tc>
          <w:tcPr>
            <w:tcW w:w="2339" w:type="dxa"/>
            <w:tcBorders>
              <w:top w:val="single" w:sz="4" w:space="0" w:color="000000"/>
              <w:bottom w:val="single" w:sz="4" w:space="0" w:color="auto"/>
            </w:tcBorders>
          </w:tcPr>
          <w:p w:rsidR="00EB0B22" w:rsidRPr="007119EA" w:rsidRDefault="00EB0B22" w:rsidP="00C749CE">
            <w:pPr>
              <w:spacing w:after="0"/>
              <w:jc w:val="center"/>
              <w:rPr>
                <w:b/>
                <w:lang w:val="es-ES_tradnl"/>
              </w:rPr>
            </w:pPr>
            <w:proofErr w:type="spellStart"/>
            <w:r w:rsidRPr="007119EA">
              <w:rPr>
                <w:b/>
                <w:lang w:val="es-ES_tradnl"/>
              </w:rPr>
              <w:t>Desv</w:t>
            </w:r>
            <w:proofErr w:type="spellEnd"/>
            <w:r w:rsidRPr="007119EA">
              <w:rPr>
                <w:b/>
                <w:lang w:val="es-ES_tradnl"/>
              </w:rPr>
              <w:t>. Estándar</w:t>
            </w:r>
          </w:p>
        </w:tc>
      </w:tr>
      <w:tr w:rsidR="00EB0B22" w:rsidTr="00A66692">
        <w:tc>
          <w:tcPr>
            <w:tcW w:w="2339" w:type="dxa"/>
            <w:tcBorders>
              <w:top w:val="single" w:sz="4" w:space="0" w:color="auto"/>
            </w:tcBorders>
          </w:tcPr>
          <w:p w:rsidR="00EB0B22" w:rsidRDefault="00EB0B22" w:rsidP="00C749CE">
            <w:pPr>
              <w:spacing w:after="0"/>
              <w:rPr>
                <w:lang w:val="es-ES_tradnl"/>
              </w:rPr>
            </w:pPr>
            <w:r>
              <w:rPr>
                <w:lang w:val="es-ES_tradnl"/>
              </w:rPr>
              <w:t>Acción A</w:t>
            </w:r>
          </w:p>
        </w:tc>
        <w:tc>
          <w:tcPr>
            <w:tcW w:w="2339" w:type="dxa"/>
            <w:tcBorders>
              <w:top w:val="single" w:sz="4" w:space="0" w:color="auto"/>
            </w:tcBorders>
          </w:tcPr>
          <w:p w:rsidR="00EB0B22" w:rsidRDefault="00EB0B22" w:rsidP="00C749CE">
            <w:pPr>
              <w:spacing w:after="0"/>
              <w:jc w:val="center"/>
              <w:rPr>
                <w:lang w:val="es-ES_tradnl"/>
              </w:rPr>
            </w:pPr>
            <w:r>
              <w:rPr>
                <w:lang w:val="es-ES_tradnl"/>
              </w:rPr>
              <w:t>27%</w:t>
            </w:r>
          </w:p>
        </w:tc>
        <w:tc>
          <w:tcPr>
            <w:tcW w:w="2339" w:type="dxa"/>
            <w:tcBorders>
              <w:top w:val="single" w:sz="4" w:space="0" w:color="auto"/>
            </w:tcBorders>
            <w:vAlign w:val="bottom"/>
          </w:tcPr>
          <w:p w:rsidR="00EB0B22" w:rsidRPr="007119EA" w:rsidRDefault="00EB0B22" w:rsidP="00C749CE">
            <w:pPr>
              <w:spacing w:after="0"/>
              <w:jc w:val="center"/>
              <w:rPr>
                <w:lang w:val="es-ES_tradnl"/>
              </w:rPr>
            </w:pPr>
            <w:r w:rsidRPr="007119EA">
              <w:rPr>
                <w:lang w:val="es-ES_tradnl"/>
              </w:rPr>
              <w:t>9,5%</w:t>
            </w:r>
          </w:p>
        </w:tc>
        <w:tc>
          <w:tcPr>
            <w:tcW w:w="2339" w:type="dxa"/>
            <w:tcBorders>
              <w:top w:val="single" w:sz="4" w:space="0" w:color="auto"/>
            </w:tcBorders>
            <w:vAlign w:val="bottom"/>
          </w:tcPr>
          <w:p w:rsidR="00EB0B22" w:rsidRPr="007119EA" w:rsidRDefault="00EB0B22" w:rsidP="00C749CE">
            <w:pPr>
              <w:spacing w:after="0"/>
              <w:jc w:val="center"/>
              <w:rPr>
                <w:lang w:val="es-ES_tradnl"/>
              </w:rPr>
            </w:pPr>
            <w:r w:rsidRPr="007119EA">
              <w:rPr>
                <w:lang w:val="es-ES_tradnl"/>
              </w:rPr>
              <w:t>16,2%</w:t>
            </w:r>
          </w:p>
        </w:tc>
      </w:tr>
      <w:tr w:rsidR="00EB0B22" w:rsidTr="00A66692">
        <w:tc>
          <w:tcPr>
            <w:tcW w:w="2339" w:type="dxa"/>
          </w:tcPr>
          <w:p w:rsidR="00EB0B22" w:rsidRDefault="00EB0B22" w:rsidP="00C749CE">
            <w:pPr>
              <w:spacing w:after="0"/>
              <w:rPr>
                <w:lang w:val="es-ES_tradnl"/>
              </w:rPr>
            </w:pPr>
            <w:r>
              <w:rPr>
                <w:lang w:val="es-ES_tradnl"/>
              </w:rPr>
              <w:t>Acción B</w:t>
            </w:r>
          </w:p>
        </w:tc>
        <w:tc>
          <w:tcPr>
            <w:tcW w:w="2339" w:type="dxa"/>
          </w:tcPr>
          <w:p w:rsidR="00EB0B22" w:rsidRDefault="00EB0B22" w:rsidP="00C749CE">
            <w:pPr>
              <w:spacing w:after="0"/>
              <w:jc w:val="center"/>
              <w:rPr>
                <w:lang w:val="es-ES_tradnl"/>
              </w:rPr>
            </w:pPr>
            <w:r>
              <w:rPr>
                <w:lang w:val="es-ES_tradnl"/>
              </w:rPr>
              <w:t>33%</w:t>
            </w:r>
          </w:p>
        </w:tc>
        <w:tc>
          <w:tcPr>
            <w:tcW w:w="2339" w:type="dxa"/>
            <w:vAlign w:val="bottom"/>
          </w:tcPr>
          <w:p w:rsidR="00EB0B22" w:rsidRPr="007119EA" w:rsidRDefault="00EB0B22" w:rsidP="00C749CE">
            <w:pPr>
              <w:spacing w:after="0"/>
              <w:jc w:val="center"/>
              <w:rPr>
                <w:lang w:val="es-ES_tradnl"/>
              </w:rPr>
            </w:pPr>
            <w:r w:rsidRPr="007119EA">
              <w:rPr>
                <w:lang w:val="es-ES_tradnl"/>
              </w:rPr>
              <w:t>17,0%</w:t>
            </w:r>
          </w:p>
        </w:tc>
        <w:tc>
          <w:tcPr>
            <w:tcW w:w="2339" w:type="dxa"/>
            <w:vAlign w:val="bottom"/>
          </w:tcPr>
          <w:p w:rsidR="00EB0B22" w:rsidRPr="007119EA" w:rsidRDefault="00D9111C" w:rsidP="00C749CE">
            <w:pPr>
              <w:spacing w:after="0"/>
              <w:jc w:val="center"/>
              <w:rPr>
                <w:lang w:val="es-ES_tradnl"/>
              </w:rPr>
            </w:pPr>
            <w:r>
              <w:rPr>
                <w:lang w:val="es-ES_tradnl"/>
              </w:rPr>
              <w:t>20</w:t>
            </w:r>
            <w:r w:rsidR="00EB0B22" w:rsidRPr="007119EA">
              <w:rPr>
                <w:lang w:val="es-ES_tradnl"/>
              </w:rPr>
              <w:t>,0%</w:t>
            </w:r>
          </w:p>
        </w:tc>
      </w:tr>
      <w:tr w:rsidR="00EB0B22" w:rsidTr="00A66692">
        <w:tc>
          <w:tcPr>
            <w:tcW w:w="2339" w:type="dxa"/>
          </w:tcPr>
          <w:p w:rsidR="00EB0B22" w:rsidRDefault="00EB0B22" w:rsidP="00C749CE">
            <w:pPr>
              <w:spacing w:after="0"/>
              <w:rPr>
                <w:lang w:val="es-ES_tradnl"/>
              </w:rPr>
            </w:pPr>
            <w:r>
              <w:rPr>
                <w:lang w:val="es-ES_tradnl"/>
              </w:rPr>
              <w:t>Acción C</w:t>
            </w:r>
          </w:p>
        </w:tc>
        <w:tc>
          <w:tcPr>
            <w:tcW w:w="2339" w:type="dxa"/>
          </w:tcPr>
          <w:p w:rsidR="00EB0B22" w:rsidRDefault="00EB0B22" w:rsidP="00C749CE">
            <w:pPr>
              <w:spacing w:after="0"/>
              <w:jc w:val="center"/>
              <w:rPr>
                <w:lang w:val="es-ES_tradnl"/>
              </w:rPr>
            </w:pPr>
            <w:r>
              <w:rPr>
                <w:lang w:val="es-ES_tradnl"/>
              </w:rPr>
              <w:t>40%</w:t>
            </w:r>
          </w:p>
        </w:tc>
        <w:tc>
          <w:tcPr>
            <w:tcW w:w="2339" w:type="dxa"/>
            <w:vAlign w:val="bottom"/>
          </w:tcPr>
          <w:p w:rsidR="00EB0B22" w:rsidRPr="007119EA" w:rsidRDefault="00EB0B22" w:rsidP="00C749CE">
            <w:pPr>
              <w:spacing w:after="0"/>
              <w:jc w:val="center"/>
              <w:rPr>
                <w:lang w:val="es-ES_tradnl"/>
              </w:rPr>
            </w:pPr>
            <w:r w:rsidRPr="007119EA">
              <w:rPr>
                <w:lang w:val="es-ES_tradnl"/>
              </w:rPr>
              <w:t>22,0%</w:t>
            </w:r>
          </w:p>
        </w:tc>
        <w:tc>
          <w:tcPr>
            <w:tcW w:w="2339" w:type="dxa"/>
            <w:vAlign w:val="bottom"/>
          </w:tcPr>
          <w:p w:rsidR="00EB0B22" w:rsidRPr="007119EA" w:rsidRDefault="00EB0B22" w:rsidP="00C749CE">
            <w:pPr>
              <w:spacing w:after="0"/>
              <w:jc w:val="center"/>
              <w:rPr>
                <w:lang w:val="es-ES_tradnl"/>
              </w:rPr>
            </w:pPr>
            <w:r w:rsidRPr="007119EA">
              <w:rPr>
                <w:lang w:val="es-ES_tradnl"/>
              </w:rPr>
              <w:t>25,0%</w:t>
            </w:r>
          </w:p>
        </w:tc>
      </w:tr>
    </w:tbl>
    <w:p w:rsidR="00EB0B22" w:rsidRPr="00EB0B22" w:rsidRDefault="00EB0B22" w:rsidP="00EB0B22">
      <w:pPr>
        <w:rPr>
          <w:lang w:val="es-ES_tradnl"/>
        </w:rPr>
      </w:pPr>
    </w:p>
    <w:tbl>
      <w:tblPr>
        <w:tblStyle w:val="TableGrid"/>
        <w:tblW w:w="0" w:type="auto"/>
        <w:tblInd w:w="108" w:type="dxa"/>
        <w:tblBorders>
          <w:left w:val="none" w:sz="0" w:space="0" w:color="auto"/>
          <w:right w:val="none" w:sz="0" w:space="0" w:color="auto"/>
          <w:insideH w:val="dotted" w:sz="4" w:space="0" w:color="auto"/>
          <w:insideV w:val="none" w:sz="0" w:space="0" w:color="auto"/>
        </w:tblBorders>
        <w:tblLook w:val="04A0"/>
      </w:tblPr>
      <w:tblGrid>
        <w:gridCol w:w="4678"/>
        <w:gridCol w:w="4678"/>
      </w:tblGrid>
      <w:tr w:rsidR="00EB0B22" w:rsidRPr="007119EA" w:rsidTr="00A66692">
        <w:tc>
          <w:tcPr>
            <w:tcW w:w="4678" w:type="dxa"/>
            <w:tcBorders>
              <w:top w:val="single" w:sz="4" w:space="0" w:color="000000"/>
              <w:bottom w:val="single" w:sz="4" w:space="0" w:color="auto"/>
            </w:tcBorders>
          </w:tcPr>
          <w:p w:rsidR="00EB0B22" w:rsidRPr="007119EA" w:rsidRDefault="00EB0B22" w:rsidP="00C749CE">
            <w:pPr>
              <w:spacing w:after="0"/>
              <w:rPr>
                <w:b/>
                <w:lang w:val="es-ES_tradnl"/>
              </w:rPr>
            </w:pPr>
            <w:r w:rsidRPr="007119EA">
              <w:rPr>
                <w:b/>
                <w:lang w:val="es-ES_tradnl"/>
              </w:rPr>
              <w:t>Instrumentos</w:t>
            </w:r>
          </w:p>
        </w:tc>
        <w:tc>
          <w:tcPr>
            <w:tcW w:w="4678" w:type="dxa"/>
            <w:tcBorders>
              <w:top w:val="single" w:sz="4" w:space="0" w:color="000000"/>
              <w:bottom w:val="single" w:sz="4" w:space="0" w:color="auto"/>
            </w:tcBorders>
          </w:tcPr>
          <w:p w:rsidR="00EB0B22" w:rsidRPr="007119EA" w:rsidRDefault="00EB0B22" w:rsidP="00C749CE">
            <w:pPr>
              <w:spacing w:after="0"/>
              <w:jc w:val="center"/>
              <w:rPr>
                <w:b/>
                <w:lang w:val="es-ES_tradnl"/>
              </w:rPr>
            </w:pPr>
            <w:r>
              <w:rPr>
                <w:b/>
                <w:lang w:val="es-ES_tradnl"/>
              </w:rPr>
              <w:t>Covarianza</w:t>
            </w:r>
          </w:p>
        </w:tc>
      </w:tr>
      <w:tr w:rsidR="00EB0B22" w:rsidTr="00A66692">
        <w:tc>
          <w:tcPr>
            <w:tcW w:w="4678" w:type="dxa"/>
            <w:tcBorders>
              <w:top w:val="single" w:sz="4" w:space="0" w:color="auto"/>
            </w:tcBorders>
          </w:tcPr>
          <w:p w:rsidR="00EB0B22" w:rsidRDefault="00EB0B22" w:rsidP="00C749CE">
            <w:pPr>
              <w:spacing w:after="0"/>
              <w:rPr>
                <w:lang w:val="es-ES_tradnl"/>
              </w:rPr>
            </w:pPr>
            <w:r>
              <w:rPr>
                <w:lang w:val="es-ES_tradnl"/>
              </w:rPr>
              <w:t>Acción A – Acción B</w:t>
            </w:r>
          </w:p>
        </w:tc>
        <w:tc>
          <w:tcPr>
            <w:tcW w:w="4678" w:type="dxa"/>
            <w:tcBorders>
              <w:top w:val="single" w:sz="4" w:space="0" w:color="auto"/>
            </w:tcBorders>
            <w:vAlign w:val="bottom"/>
          </w:tcPr>
          <w:p w:rsidR="00EB0B22" w:rsidRPr="007119EA" w:rsidRDefault="00D9111C" w:rsidP="00C749CE">
            <w:pPr>
              <w:spacing w:after="0"/>
              <w:jc w:val="center"/>
              <w:rPr>
                <w:lang w:val="es-ES_tradnl"/>
              </w:rPr>
            </w:pPr>
            <w:r>
              <w:rPr>
                <w:lang w:val="es-ES_tradnl"/>
              </w:rPr>
              <w:t>-0</w:t>
            </w:r>
            <w:r w:rsidR="00EB0B22" w:rsidRPr="007119EA">
              <w:rPr>
                <w:lang w:val="es-ES_tradnl"/>
              </w:rPr>
              <w:t>,</w:t>
            </w:r>
            <w:r>
              <w:rPr>
                <w:lang w:val="es-ES_tradnl"/>
              </w:rPr>
              <w:t>0</w:t>
            </w:r>
            <w:r w:rsidR="00EB0B22" w:rsidRPr="007119EA">
              <w:rPr>
                <w:lang w:val="es-ES_tradnl"/>
              </w:rPr>
              <w:t>0</w:t>
            </w:r>
            <w:r>
              <w:rPr>
                <w:lang w:val="es-ES_tradnl"/>
              </w:rPr>
              <w:t>8</w:t>
            </w:r>
            <w:r w:rsidR="00EB0B22" w:rsidRPr="007119EA">
              <w:rPr>
                <w:lang w:val="es-ES_tradnl"/>
              </w:rPr>
              <w:t>%</w:t>
            </w:r>
          </w:p>
        </w:tc>
      </w:tr>
      <w:tr w:rsidR="00EB0B22" w:rsidTr="00A66692">
        <w:tc>
          <w:tcPr>
            <w:tcW w:w="4678" w:type="dxa"/>
          </w:tcPr>
          <w:p w:rsidR="00EB0B22" w:rsidRDefault="00EB0B22" w:rsidP="00C749CE">
            <w:pPr>
              <w:spacing w:after="0"/>
              <w:rPr>
                <w:lang w:val="es-ES_tradnl"/>
              </w:rPr>
            </w:pPr>
            <w:r>
              <w:rPr>
                <w:lang w:val="es-ES_tradnl"/>
              </w:rPr>
              <w:t>Acción A – Acción C</w:t>
            </w:r>
          </w:p>
        </w:tc>
        <w:tc>
          <w:tcPr>
            <w:tcW w:w="4678" w:type="dxa"/>
            <w:vAlign w:val="bottom"/>
          </w:tcPr>
          <w:p w:rsidR="00EB0B22" w:rsidRPr="007119EA" w:rsidRDefault="00EB0B22" w:rsidP="00D9111C">
            <w:pPr>
              <w:spacing w:after="0"/>
              <w:jc w:val="center"/>
              <w:rPr>
                <w:lang w:val="es-ES_tradnl"/>
              </w:rPr>
            </w:pPr>
            <w:r w:rsidRPr="007119EA">
              <w:rPr>
                <w:lang w:val="es-ES_tradnl"/>
              </w:rPr>
              <w:t>-</w:t>
            </w:r>
            <w:r w:rsidR="00D9111C">
              <w:rPr>
                <w:lang w:val="es-ES_tradnl"/>
              </w:rPr>
              <w:t>0,012</w:t>
            </w:r>
            <w:r w:rsidRPr="007119EA">
              <w:rPr>
                <w:lang w:val="es-ES_tradnl"/>
              </w:rPr>
              <w:t>%</w:t>
            </w:r>
          </w:p>
        </w:tc>
      </w:tr>
      <w:tr w:rsidR="00EB0B22" w:rsidTr="00A66692">
        <w:tc>
          <w:tcPr>
            <w:tcW w:w="4678" w:type="dxa"/>
          </w:tcPr>
          <w:p w:rsidR="00EB0B22" w:rsidRDefault="00EB0B22" w:rsidP="00C749CE">
            <w:pPr>
              <w:spacing w:after="0"/>
              <w:rPr>
                <w:lang w:val="es-ES_tradnl"/>
              </w:rPr>
            </w:pPr>
            <w:r>
              <w:rPr>
                <w:lang w:val="es-ES_tradnl"/>
              </w:rPr>
              <w:t>Acción B – Acción C</w:t>
            </w:r>
          </w:p>
        </w:tc>
        <w:tc>
          <w:tcPr>
            <w:tcW w:w="4678" w:type="dxa"/>
            <w:vAlign w:val="bottom"/>
          </w:tcPr>
          <w:p w:rsidR="00EB0B22" w:rsidRPr="007119EA" w:rsidRDefault="00D9111C" w:rsidP="00C749CE">
            <w:pPr>
              <w:spacing w:after="0"/>
              <w:jc w:val="center"/>
              <w:rPr>
                <w:lang w:val="es-ES_tradnl"/>
              </w:rPr>
            </w:pPr>
            <w:r>
              <w:rPr>
                <w:lang w:val="es-ES_tradnl"/>
              </w:rPr>
              <w:t>0,035</w:t>
            </w:r>
            <w:r w:rsidR="00EB0B22" w:rsidRPr="007119EA">
              <w:rPr>
                <w:lang w:val="es-ES_tradnl"/>
              </w:rPr>
              <w:t>%</w:t>
            </w:r>
          </w:p>
        </w:tc>
      </w:tr>
    </w:tbl>
    <w:p w:rsidR="00EB0B22" w:rsidRDefault="00EB0B22" w:rsidP="00717D33">
      <w:pPr>
        <w:rPr>
          <w:lang w:val="es-ES_tradnl"/>
        </w:rPr>
      </w:pPr>
    </w:p>
    <w:p w:rsidR="00EB0B22" w:rsidRDefault="00EB0B22" w:rsidP="00EB0B22">
      <w:pPr>
        <w:numPr>
          <w:ilvl w:val="0"/>
          <w:numId w:val="20"/>
        </w:numPr>
        <w:rPr>
          <w:lang w:val="es-ES_tradnl"/>
        </w:rPr>
      </w:pPr>
      <w:r>
        <w:rPr>
          <w:lang w:val="es-ES_tradnl"/>
        </w:rPr>
        <w:t xml:space="preserve">¿Cuál sería la rentabilidad esperada y la desviación estándar de la cartera </w:t>
      </w:r>
      <w:r w:rsidR="00EA7F48">
        <w:rPr>
          <w:lang w:val="es-ES_tradnl"/>
        </w:rPr>
        <w:t>formada por estos tres activos</w:t>
      </w:r>
      <w:r>
        <w:rPr>
          <w:lang w:val="es-ES_tradnl"/>
        </w:rPr>
        <w:t>?</w:t>
      </w:r>
      <w:r w:rsidR="008D70AD">
        <w:rPr>
          <w:lang w:val="es-ES_tradnl"/>
        </w:rPr>
        <w:t xml:space="preserve"> (</w:t>
      </w:r>
      <w:r w:rsidR="00EA7F48">
        <w:rPr>
          <w:lang w:val="es-ES_tradnl"/>
        </w:rPr>
        <w:t xml:space="preserve">2 </w:t>
      </w:r>
      <w:proofErr w:type="spellStart"/>
      <w:r w:rsidR="00EA7F48">
        <w:rPr>
          <w:lang w:val="es-ES_tradnl"/>
        </w:rPr>
        <w:t>ptos</w:t>
      </w:r>
      <w:proofErr w:type="spellEnd"/>
      <w:r w:rsidR="00EA7F48">
        <w:rPr>
          <w:lang w:val="es-ES_tradnl"/>
        </w:rPr>
        <w:t>.)</w:t>
      </w:r>
    </w:p>
    <w:p w:rsidR="00EB0B22" w:rsidRDefault="00EB0B22" w:rsidP="00717D33">
      <w:pPr>
        <w:rPr>
          <w:lang w:val="es-ES_tradnl"/>
        </w:rPr>
      </w:pPr>
      <m:oMathPara>
        <m:oMathParaPr>
          <m:jc m:val="left"/>
        </m:oMathParaPr>
        <m:oMath>
          <m:r>
            <w:rPr>
              <w:rFonts w:ascii="Cambria Math" w:hAnsi="Cambria Math"/>
              <w:lang w:val="es-ES_tradnl"/>
            </w:rPr>
            <m:t>E</m:t>
          </m:r>
          <m:d>
            <m:dPr>
              <m:ctrlPr>
                <w:rPr>
                  <w:rFonts w:ascii="Cambria Math" w:hAnsi="Cambria Math"/>
                  <w:i/>
                  <w:lang w:val="es-ES_tradnl"/>
                </w:rPr>
              </m:ctrlPr>
            </m:dPr>
            <m:e>
              <m:r>
                <w:rPr>
                  <w:rFonts w:ascii="Cambria Math" w:hAnsi="Cambria Math"/>
                  <w:lang w:val="es-ES_tradnl"/>
                </w:rPr>
                <m:t>r</m:t>
              </m:r>
            </m:e>
          </m:d>
          <m:r>
            <w:rPr>
              <w:rFonts w:ascii="Cambria Math" w:hAnsi="Cambria Math"/>
              <w:lang w:val="es-ES_tradnl"/>
            </w:rPr>
            <m:t>=</m:t>
          </m:r>
          <m:nary>
            <m:naryPr>
              <m:chr m:val="∑"/>
              <m:limLoc m:val="undOvr"/>
              <m:supHide m:val="on"/>
              <m:ctrlPr>
                <w:rPr>
                  <w:rFonts w:ascii="Cambria Math" w:hAnsi="Cambria Math"/>
                  <w:i/>
                  <w:lang w:val="es-ES_tradnl"/>
                </w:rPr>
              </m:ctrlPr>
            </m:naryPr>
            <m:sub>
              <m:r>
                <w:rPr>
                  <w:rFonts w:ascii="Cambria Math" w:hAnsi="Cambria Math"/>
                  <w:lang w:val="es-ES_tradnl"/>
                </w:rPr>
                <m:t>i</m:t>
              </m:r>
            </m:sub>
            <m:sup/>
            <m:e>
              <m:nary>
                <m:naryPr>
                  <m:chr m:val="∑"/>
                  <m:limLoc m:val="undOvr"/>
                  <m:supHide m:val="on"/>
                  <m:ctrlPr>
                    <w:rPr>
                      <w:rFonts w:ascii="Cambria Math" w:hAnsi="Cambria Math"/>
                      <w:i/>
                      <w:lang w:val="es-ES_tradnl"/>
                    </w:rPr>
                  </m:ctrlPr>
                </m:naryPr>
                <m:sub>
                  <m:r>
                    <w:rPr>
                      <w:rFonts w:ascii="Cambria Math" w:hAnsi="Cambria Math"/>
                      <w:lang w:val="es-ES_tradnl"/>
                    </w:rPr>
                    <m:t>j</m:t>
                  </m:r>
                </m:sub>
                <m:sup/>
                <m:e>
                  <m:sSub>
                    <m:sSubPr>
                      <m:ctrlPr>
                        <w:rPr>
                          <w:rFonts w:ascii="Cambria Math" w:hAnsi="Cambria Math"/>
                          <w:i/>
                          <w:lang w:val="es-ES_tradnl"/>
                        </w:rPr>
                      </m:ctrlPr>
                    </m:sSubPr>
                    <m:e>
                      <m:r>
                        <w:rPr>
                          <w:rFonts w:ascii="Cambria Math" w:hAnsi="Cambria Math"/>
                          <w:lang w:val="es-ES_tradnl"/>
                        </w:rPr>
                        <m:t>w</m:t>
                      </m:r>
                    </m:e>
                    <m:sub>
                      <m:r>
                        <w:rPr>
                          <w:rFonts w:ascii="Cambria Math" w:hAnsi="Cambria Math"/>
                          <w:lang w:val="es-ES_tradnl"/>
                        </w:rPr>
                        <m:t>i</m:t>
                      </m:r>
                    </m:sub>
                  </m:sSub>
                  <m:sSub>
                    <m:sSubPr>
                      <m:ctrlPr>
                        <w:rPr>
                          <w:rFonts w:ascii="Cambria Math" w:hAnsi="Cambria Math"/>
                          <w:i/>
                          <w:lang w:val="es-ES_tradnl"/>
                        </w:rPr>
                      </m:ctrlPr>
                    </m:sSubPr>
                    <m:e>
                      <m:r>
                        <w:rPr>
                          <w:rFonts w:ascii="Cambria Math" w:hAnsi="Cambria Math"/>
                          <w:lang w:val="es-ES_tradnl"/>
                        </w:rPr>
                        <m:t>∙r</m:t>
                      </m:r>
                    </m:e>
                    <m:sub>
                      <m:r>
                        <w:rPr>
                          <w:rFonts w:ascii="Cambria Math" w:hAnsi="Cambria Math"/>
                          <w:lang w:val="es-ES_tradnl"/>
                        </w:rPr>
                        <m:t>i</m:t>
                      </m:r>
                    </m:sub>
                  </m:sSub>
                </m:e>
              </m:nary>
            </m:e>
          </m:nary>
          <m:r>
            <w:rPr>
              <w:rFonts w:ascii="Cambria Math" w:hAnsi="Cambria Math"/>
              <w:lang w:val="es-ES_tradnl"/>
            </w:rPr>
            <m:t>=27%∙9,5%+33%∙17%+40%∙22%=17%</m:t>
          </m:r>
        </m:oMath>
      </m:oMathPara>
    </w:p>
    <w:p w:rsidR="00EB0B22" w:rsidRDefault="00BA662D" w:rsidP="00717D33">
      <w:pPr>
        <w:rPr>
          <w:lang w:val="es-ES_tradnl"/>
        </w:rPr>
      </w:pPr>
      <m:oMathPara>
        <m:oMathParaPr>
          <m:jc m:val="left"/>
        </m:oMathParaPr>
        <m:oMath>
          <m:sSub>
            <m:sSubPr>
              <m:ctrlPr>
                <w:rPr>
                  <w:rFonts w:ascii="Cambria Math" w:hAnsi="Cambria Math"/>
                  <w:i/>
                  <w:lang w:val="es-ES_tradnl"/>
                </w:rPr>
              </m:ctrlPr>
            </m:sSubPr>
            <m:e>
              <m:r>
                <w:rPr>
                  <w:rFonts w:ascii="Cambria Math" w:hAnsi="Cambria Math"/>
                  <w:lang w:val="es-ES_tradnl"/>
                </w:rPr>
                <m:t>σ</m:t>
              </m:r>
            </m:e>
            <m:sub>
              <m:r>
                <w:rPr>
                  <w:rFonts w:ascii="Cambria Math" w:hAnsi="Cambria Math"/>
                  <w:lang w:val="es-ES_tradnl"/>
                </w:rPr>
                <m:t>p</m:t>
              </m:r>
            </m:sub>
          </m:sSub>
          <m:r>
            <w:rPr>
              <w:rFonts w:ascii="Cambria Math" w:hAnsi="Cambria Math"/>
              <w:lang w:val="es-ES_tradnl"/>
            </w:rPr>
            <m:t>=</m:t>
          </m:r>
          <m:nary>
            <m:naryPr>
              <m:chr m:val="∑"/>
              <m:limLoc m:val="undOvr"/>
              <m:supHide m:val="on"/>
              <m:ctrlPr>
                <w:rPr>
                  <w:rFonts w:ascii="Cambria Math" w:hAnsi="Cambria Math"/>
                  <w:i/>
                  <w:lang w:val="es-ES_tradnl"/>
                </w:rPr>
              </m:ctrlPr>
            </m:naryPr>
            <m:sub>
              <m:r>
                <w:rPr>
                  <w:rFonts w:ascii="Cambria Math" w:hAnsi="Cambria Math"/>
                  <w:lang w:val="es-ES_tradnl"/>
                </w:rPr>
                <m:t>i</m:t>
              </m:r>
            </m:sub>
            <m:sup/>
            <m:e>
              <m:nary>
                <m:naryPr>
                  <m:chr m:val="∑"/>
                  <m:limLoc m:val="undOvr"/>
                  <m:supHide m:val="on"/>
                  <m:ctrlPr>
                    <w:rPr>
                      <w:rFonts w:ascii="Cambria Math" w:hAnsi="Cambria Math"/>
                      <w:i/>
                      <w:lang w:val="es-ES_tradnl"/>
                    </w:rPr>
                  </m:ctrlPr>
                </m:naryPr>
                <m:sub>
                  <m:r>
                    <w:rPr>
                      <w:rFonts w:ascii="Cambria Math" w:hAnsi="Cambria Math"/>
                      <w:lang w:val="es-ES_tradnl"/>
                    </w:rPr>
                    <m:t>i</m:t>
                  </m:r>
                </m:sub>
                <m:sup/>
                <m:e>
                  <m:sSub>
                    <m:sSubPr>
                      <m:ctrlPr>
                        <w:rPr>
                          <w:rFonts w:ascii="Cambria Math" w:hAnsi="Cambria Math"/>
                          <w:i/>
                          <w:lang w:val="es-ES_tradnl"/>
                        </w:rPr>
                      </m:ctrlPr>
                    </m:sSubPr>
                    <m:e>
                      <m:r>
                        <w:rPr>
                          <w:rFonts w:ascii="Cambria Math" w:hAnsi="Cambria Math"/>
                          <w:lang w:val="es-ES_tradnl"/>
                        </w:rPr>
                        <m:t>w</m:t>
                      </m:r>
                    </m:e>
                    <m:sub>
                      <m:r>
                        <w:rPr>
                          <w:rFonts w:ascii="Cambria Math" w:hAnsi="Cambria Math"/>
                          <w:lang w:val="es-ES_tradnl"/>
                        </w:rPr>
                        <m:t>i</m:t>
                      </m:r>
                    </m:sub>
                  </m:sSub>
                  <m:r>
                    <w:rPr>
                      <w:rFonts w:ascii="Cambria Math" w:hAnsi="Cambria Math"/>
                      <w:lang w:val="es-ES_tradnl"/>
                    </w:rPr>
                    <m:t>∙</m:t>
                  </m:r>
                  <m:sSub>
                    <m:sSubPr>
                      <m:ctrlPr>
                        <w:rPr>
                          <w:rFonts w:ascii="Cambria Math" w:hAnsi="Cambria Math"/>
                          <w:i/>
                          <w:lang w:val="es-ES_tradnl"/>
                        </w:rPr>
                      </m:ctrlPr>
                    </m:sSubPr>
                    <m:e>
                      <m:r>
                        <w:rPr>
                          <w:rFonts w:ascii="Cambria Math" w:hAnsi="Cambria Math"/>
                          <w:lang w:val="es-ES_tradnl"/>
                        </w:rPr>
                        <m:t>w</m:t>
                      </m:r>
                    </m:e>
                    <m:sub>
                      <m:r>
                        <w:rPr>
                          <w:rFonts w:ascii="Cambria Math" w:hAnsi="Cambria Math"/>
                          <w:lang w:val="es-ES_tradnl"/>
                        </w:rPr>
                        <m:t>j</m:t>
                      </m:r>
                    </m:sub>
                  </m:sSub>
                  <m:r>
                    <w:rPr>
                      <w:rFonts w:ascii="Cambria Math" w:hAnsi="Cambria Math"/>
                      <w:lang w:val="es-ES_tradnl"/>
                    </w:rPr>
                    <m:t>∙</m:t>
                  </m:r>
                  <m:sSub>
                    <m:sSubPr>
                      <m:ctrlPr>
                        <w:rPr>
                          <w:rFonts w:ascii="Cambria Math" w:hAnsi="Cambria Math"/>
                          <w:i/>
                          <w:lang w:val="es-ES_tradnl"/>
                        </w:rPr>
                      </m:ctrlPr>
                    </m:sSubPr>
                    <m:e>
                      <m:r>
                        <w:rPr>
                          <w:rFonts w:ascii="Cambria Math" w:hAnsi="Cambria Math"/>
                          <w:lang w:val="es-ES_tradnl"/>
                        </w:rPr>
                        <m:t>σ</m:t>
                      </m:r>
                    </m:e>
                    <m:sub>
                      <m:r>
                        <w:rPr>
                          <w:rFonts w:ascii="Cambria Math" w:hAnsi="Cambria Math"/>
                          <w:lang w:val="es-ES_tradnl"/>
                        </w:rPr>
                        <m:t>ij</m:t>
                      </m:r>
                    </m:sub>
                  </m:sSub>
                </m:e>
              </m:nary>
            </m:e>
          </m:nary>
          <m:r>
            <w:rPr>
              <w:rFonts w:ascii="Cambria Math" w:hAnsi="Cambria Math"/>
              <w:lang w:val="es-ES_tradnl"/>
            </w:rPr>
            <m:t>=8,3%</m:t>
          </m:r>
        </m:oMath>
      </m:oMathPara>
    </w:p>
    <w:p w:rsidR="00EB0B22" w:rsidRDefault="00EB0B22" w:rsidP="00EB0B22">
      <w:pPr>
        <w:numPr>
          <w:ilvl w:val="0"/>
          <w:numId w:val="20"/>
        </w:numPr>
        <w:rPr>
          <w:lang w:val="es-ES_tradnl"/>
        </w:rPr>
      </w:pPr>
      <w:r>
        <w:rPr>
          <w:lang w:val="es-ES_tradnl"/>
        </w:rPr>
        <w:t>Si usted invierte el 70% de su dinero en esta cartera, y lo restante en las letras del Tesoro, las que tienen una tasa del 7%. ¿Cuál es la rentabilidad esperada y la desviación estándar de su inversión?</w:t>
      </w:r>
      <w:r w:rsidR="00EA7F48" w:rsidRPr="00EA7F48">
        <w:rPr>
          <w:lang w:val="es-ES_tradnl"/>
        </w:rPr>
        <w:t xml:space="preserve"> </w:t>
      </w:r>
      <w:r w:rsidR="008D70AD">
        <w:rPr>
          <w:lang w:val="es-ES_tradnl"/>
        </w:rPr>
        <w:t>(</w:t>
      </w:r>
      <w:r w:rsidR="00EA7F48">
        <w:rPr>
          <w:lang w:val="es-ES_tradnl"/>
        </w:rPr>
        <w:t>1</w:t>
      </w:r>
      <w:r w:rsidR="008D70AD">
        <w:rPr>
          <w:lang w:val="es-ES_tradnl"/>
        </w:rPr>
        <w:t>,</w:t>
      </w:r>
      <w:r w:rsidR="00EA7F48">
        <w:rPr>
          <w:lang w:val="es-ES_tradnl"/>
        </w:rPr>
        <w:t xml:space="preserve">5 </w:t>
      </w:r>
      <w:proofErr w:type="spellStart"/>
      <w:r w:rsidR="00EA7F48">
        <w:rPr>
          <w:lang w:val="es-ES_tradnl"/>
        </w:rPr>
        <w:t>ptos</w:t>
      </w:r>
      <w:proofErr w:type="spellEnd"/>
      <w:r w:rsidR="00EA7F48">
        <w:rPr>
          <w:lang w:val="es-ES_tradnl"/>
        </w:rPr>
        <w:t>.)</w:t>
      </w:r>
    </w:p>
    <w:p w:rsidR="00EA7F48" w:rsidRDefault="00EA7F48" w:rsidP="00EA7F48">
      <w:pPr>
        <w:rPr>
          <w:lang w:val="es-ES_tradnl"/>
        </w:rPr>
      </w:pPr>
      <m:oMathPara>
        <m:oMathParaPr>
          <m:jc m:val="left"/>
        </m:oMathParaPr>
        <m:oMath>
          <m:r>
            <w:rPr>
              <w:rFonts w:ascii="Cambria Math" w:hAnsi="Cambria Math"/>
              <w:lang w:val="es-ES_tradnl"/>
            </w:rPr>
            <m:t>E</m:t>
          </m:r>
          <m:d>
            <m:dPr>
              <m:ctrlPr>
                <w:rPr>
                  <w:rFonts w:ascii="Cambria Math" w:hAnsi="Cambria Math"/>
                  <w:i/>
                  <w:lang w:val="es-ES_tradnl"/>
                </w:rPr>
              </m:ctrlPr>
            </m:dPr>
            <m:e>
              <m:r>
                <w:rPr>
                  <w:rFonts w:ascii="Cambria Math" w:hAnsi="Cambria Math"/>
                  <w:lang w:val="es-ES_tradnl"/>
                </w:rPr>
                <m:t>r</m:t>
              </m:r>
            </m:e>
          </m:d>
          <m:r>
            <w:rPr>
              <w:rFonts w:ascii="Cambria Math" w:hAnsi="Cambria Math"/>
              <w:lang w:val="es-ES_tradnl"/>
            </w:rPr>
            <m:t>=</m:t>
          </m:r>
          <m:nary>
            <m:naryPr>
              <m:chr m:val="∑"/>
              <m:limLoc m:val="undOvr"/>
              <m:supHide m:val="on"/>
              <m:ctrlPr>
                <w:rPr>
                  <w:rFonts w:ascii="Cambria Math" w:hAnsi="Cambria Math"/>
                  <w:i/>
                  <w:lang w:val="es-ES_tradnl"/>
                </w:rPr>
              </m:ctrlPr>
            </m:naryPr>
            <m:sub>
              <m:r>
                <w:rPr>
                  <w:rFonts w:ascii="Cambria Math" w:hAnsi="Cambria Math"/>
                  <w:lang w:val="es-ES_tradnl"/>
                </w:rPr>
                <m:t>i</m:t>
              </m:r>
            </m:sub>
            <m:sup/>
            <m:e>
              <m:nary>
                <m:naryPr>
                  <m:chr m:val="∑"/>
                  <m:limLoc m:val="undOvr"/>
                  <m:supHide m:val="on"/>
                  <m:ctrlPr>
                    <w:rPr>
                      <w:rFonts w:ascii="Cambria Math" w:hAnsi="Cambria Math"/>
                      <w:i/>
                      <w:lang w:val="es-ES_tradnl"/>
                    </w:rPr>
                  </m:ctrlPr>
                </m:naryPr>
                <m:sub>
                  <m:r>
                    <w:rPr>
                      <w:rFonts w:ascii="Cambria Math" w:hAnsi="Cambria Math"/>
                      <w:lang w:val="es-ES_tradnl"/>
                    </w:rPr>
                    <m:t>j</m:t>
                  </m:r>
                </m:sub>
                <m:sup/>
                <m:e>
                  <m:sSub>
                    <m:sSubPr>
                      <m:ctrlPr>
                        <w:rPr>
                          <w:rFonts w:ascii="Cambria Math" w:hAnsi="Cambria Math"/>
                          <w:i/>
                          <w:lang w:val="es-ES_tradnl"/>
                        </w:rPr>
                      </m:ctrlPr>
                    </m:sSubPr>
                    <m:e>
                      <m:r>
                        <w:rPr>
                          <w:rFonts w:ascii="Cambria Math" w:hAnsi="Cambria Math"/>
                          <w:lang w:val="es-ES_tradnl"/>
                        </w:rPr>
                        <m:t>w</m:t>
                      </m:r>
                    </m:e>
                    <m:sub>
                      <m:r>
                        <w:rPr>
                          <w:rFonts w:ascii="Cambria Math" w:hAnsi="Cambria Math"/>
                          <w:lang w:val="es-ES_tradnl"/>
                        </w:rPr>
                        <m:t>i</m:t>
                      </m:r>
                    </m:sub>
                  </m:sSub>
                  <m:sSub>
                    <m:sSubPr>
                      <m:ctrlPr>
                        <w:rPr>
                          <w:rFonts w:ascii="Cambria Math" w:hAnsi="Cambria Math"/>
                          <w:i/>
                          <w:lang w:val="es-ES_tradnl"/>
                        </w:rPr>
                      </m:ctrlPr>
                    </m:sSubPr>
                    <m:e>
                      <m:r>
                        <w:rPr>
                          <w:rFonts w:ascii="Cambria Math" w:hAnsi="Cambria Math"/>
                          <w:lang w:val="es-ES_tradnl"/>
                        </w:rPr>
                        <m:t>∙r</m:t>
                      </m:r>
                    </m:e>
                    <m:sub>
                      <m:r>
                        <w:rPr>
                          <w:rFonts w:ascii="Cambria Math" w:hAnsi="Cambria Math"/>
                          <w:lang w:val="es-ES_tradnl"/>
                        </w:rPr>
                        <m:t>i</m:t>
                      </m:r>
                    </m:sub>
                  </m:sSub>
                </m:e>
              </m:nary>
            </m:e>
          </m:nary>
          <m:r>
            <w:rPr>
              <w:rFonts w:ascii="Cambria Math" w:hAnsi="Cambria Math"/>
              <w:lang w:val="es-ES_tradnl"/>
            </w:rPr>
            <m:t>=70%∙17%+30%∙7%=14%</m:t>
          </m:r>
        </m:oMath>
      </m:oMathPara>
    </w:p>
    <w:p w:rsidR="00EA7F48" w:rsidRDefault="00BA662D" w:rsidP="00EA7F48">
      <w:pPr>
        <w:rPr>
          <w:lang w:val="es-ES_tradnl"/>
        </w:rPr>
      </w:pPr>
      <m:oMathPara>
        <m:oMathParaPr>
          <m:jc m:val="left"/>
        </m:oMathParaPr>
        <m:oMath>
          <m:sSub>
            <m:sSubPr>
              <m:ctrlPr>
                <w:rPr>
                  <w:rFonts w:ascii="Cambria Math" w:hAnsi="Cambria Math"/>
                  <w:i/>
                  <w:lang w:val="es-ES_tradnl"/>
                </w:rPr>
              </m:ctrlPr>
            </m:sSubPr>
            <m:e>
              <m:r>
                <w:rPr>
                  <w:rFonts w:ascii="Cambria Math" w:hAnsi="Cambria Math"/>
                  <w:lang w:val="es-ES_tradnl"/>
                </w:rPr>
                <m:t>σ</m:t>
              </m:r>
            </m:e>
            <m:sub>
              <m:r>
                <w:rPr>
                  <w:rFonts w:ascii="Cambria Math" w:hAnsi="Cambria Math"/>
                  <w:lang w:val="es-ES_tradnl"/>
                </w:rPr>
                <m:t>p</m:t>
              </m:r>
            </m:sub>
          </m:sSub>
          <m:r>
            <w:rPr>
              <w:rFonts w:ascii="Cambria Math" w:hAnsi="Cambria Math"/>
              <w:lang w:val="es-ES_tradnl"/>
            </w:rPr>
            <m:t>=</m:t>
          </m:r>
          <m:rad>
            <m:radPr>
              <m:degHide m:val="on"/>
              <m:ctrlPr>
                <w:rPr>
                  <w:rFonts w:ascii="Cambria Math" w:hAnsi="Cambria Math"/>
                  <w:i/>
                  <w:lang w:val="es-ES_tradnl"/>
                </w:rPr>
              </m:ctrlPr>
            </m:radPr>
            <m:deg/>
            <m:e>
              <m:nary>
                <m:naryPr>
                  <m:chr m:val="∑"/>
                  <m:limLoc m:val="undOvr"/>
                  <m:supHide m:val="on"/>
                  <m:ctrlPr>
                    <w:rPr>
                      <w:rFonts w:ascii="Cambria Math" w:hAnsi="Cambria Math"/>
                      <w:i/>
                      <w:lang w:val="es-ES_tradnl"/>
                    </w:rPr>
                  </m:ctrlPr>
                </m:naryPr>
                <m:sub>
                  <m:r>
                    <w:rPr>
                      <w:rFonts w:ascii="Cambria Math" w:hAnsi="Cambria Math"/>
                      <w:lang w:val="es-ES_tradnl"/>
                    </w:rPr>
                    <m:t>i</m:t>
                  </m:r>
                </m:sub>
                <m:sup/>
                <m:e>
                  <m:nary>
                    <m:naryPr>
                      <m:chr m:val="∑"/>
                      <m:limLoc m:val="undOvr"/>
                      <m:supHide m:val="on"/>
                      <m:ctrlPr>
                        <w:rPr>
                          <w:rFonts w:ascii="Cambria Math" w:hAnsi="Cambria Math"/>
                          <w:i/>
                          <w:lang w:val="es-ES_tradnl"/>
                        </w:rPr>
                      </m:ctrlPr>
                    </m:naryPr>
                    <m:sub>
                      <m:r>
                        <w:rPr>
                          <w:rFonts w:ascii="Cambria Math" w:hAnsi="Cambria Math"/>
                          <w:lang w:val="es-ES_tradnl"/>
                        </w:rPr>
                        <m:t>i</m:t>
                      </m:r>
                    </m:sub>
                    <m:sup/>
                    <m:e>
                      <m:sSub>
                        <m:sSubPr>
                          <m:ctrlPr>
                            <w:rPr>
                              <w:rFonts w:ascii="Cambria Math" w:hAnsi="Cambria Math"/>
                              <w:i/>
                              <w:lang w:val="es-ES_tradnl"/>
                            </w:rPr>
                          </m:ctrlPr>
                        </m:sSubPr>
                        <m:e>
                          <m:r>
                            <w:rPr>
                              <w:rFonts w:ascii="Cambria Math" w:hAnsi="Cambria Math"/>
                              <w:lang w:val="es-ES_tradnl"/>
                            </w:rPr>
                            <m:t>w</m:t>
                          </m:r>
                        </m:e>
                        <m:sub>
                          <m:r>
                            <w:rPr>
                              <w:rFonts w:ascii="Cambria Math" w:hAnsi="Cambria Math"/>
                              <w:lang w:val="es-ES_tradnl"/>
                            </w:rPr>
                            <m:t>i</m:t>
                          </m:r>
                        </m:sub>
                      </m:sSub>
                      <m:r>
                        <w:rPr>
                          <w:rFonts w:ascii="Cambria Math" w:hAnsi="Cambria Math"/>
                          <w:lang w:val="es-ES_tradnl"/>
                        </w:rPr>
                        <m:t>∙</m:t>
                      </m:r>
                      <m:sSub>
                        <m:sSubPr>
                          <m:ctrlPr>
                            <w:rPr>
                              <w:rFonts w:ascii="Cambria Math" w:hAnsi="Cambria Math"/>
                              <w:i/>
                              <w:lang w:val="es-ES_tradnl"/>
                            </w:rPr>
                          </m:ctrlPr>
                        </m:sSubPr>
                        <m:e>
                          <m:r>
                            <w:rPr>
                              <w:rFonts w:ascii="Cambria Math" w:hAnsi="Cambria Math"/>
                              <w:lang w:val="es-ES_tradnl"/>
                            </w:rPr>
                            <m:t>w</m:t>
                          </m:r>
                        </m:e>
                        <m:sub>
                          <m:r>
                            <w:rPr>
                              <w:rFonts w:ascii="Cambria Math" w:hAnsi="Cambria Math"/>
                              <w:lang w:val="es-ES_tradnl"/>
                            </w:rPr>
                            <m:t>j</m:t>
                          </m:r>
                        </m:sub>
                      </m:sSub>
                      <m:r>
                        <w:rPr>
                          <w:rFonts w:ascii="Cambria Math" w:hAnsi="Cambria Math"/>
                          <w:lang w:val="es-ES_tradnl"/>
                        </w:rPr>
                        <m:t>∙</m:t>
                      </m:r>
                      <m:sSub>
                        <m:sSubPr>
                          <m:ctrlPr>
                            <w:rPr>
                              <w:rFonts w:ascii="Cambria Math" w:hAnsi="Cambria Math"/>
                              <w:i/>
                              <w:lang w:val="es-ES_tradnl"/>
                            </w:rPr>
                          </m:ctrlPr>
                        </m:sSubPr>
                        <m:e>
                          <m:r>
                            <w:rPr>
                              <w:rFonts w:ascii="Cambria Math" w:hAnsi="Cambria Math"/>
                              <w:lang w:val="es-ES_tradnl"/>
                            </w:rPr>
                            <m:t>σ</m:t>
                          </m:r>
                        </m:e>
                        <m:sub>
                          <m:r>
                            <w:rPr>
                              <w:rFonts w:ascii="Cambria Math" w:hAnsi="Cambria Math"/>
                              <w:lang w:val="es-ES_tradnl"/>
                            </w:rPr>
                            <m:t>ij</m:t>
                          </m:r>
                        </m:sub>
                      </m:sSub>
                    </m:e>
                  </m:nary>
                </m:e>
              </m:nary>
            </m:e>
          </m:rad>
          <m:r>
            <w:rPr>
              <w:rFonts w:ascii="Cambria Math" w:hAnsi="Cambria Math"/>
              <w:lang w:val="es-ES_tradnl"/>
            </w:rPr>
            <m:t>=70%∙27%=5,8%</m:t>
          </m:r>
        </m:oMath>
      </m:oMathPara>
    </w:p>
    <w:p w:rsidR="00717D33" w:rsidRDefault="00BA662D" w:rsidP="00EB0B22">
      <w:pPr>
        <w:numPr>
          <w:ilvl w:val="0"/>
          <w:numId w:val="20"/>
        </w:numPr>
        <w:rPr>
          <w:lang w:val="es-ES_tradnl"/>
        </w:rPr>
      </w:pPr>
      <w:r>
        <w:rPr>
          <w:noProof/>
          <w:lang w:val="en-US" w:eastAsia="en-US"/>
        </w:rPr>
        <w:pict>
          <v:group id="_x0000_s1047" style="position:absolute;left:0;text-align:left;margin-left:21.6pt;margin-top:46.45pt;width:221.5pt;height:148.65pt;z-index:251676672" coordorigin="1872,5222" coordsize="4430,2973">
            <v:shapetype id="_x0000_t202" coordsize="21600,21600" o:spt="202" path="m,l,21600r21600,l21600,xe">
              <v:stroke joinstyle="miter"/>
              <v:path gradientshapeok="t" o:connecttype="rect"/>
            </v:shapetype>
            <v:shape id="_x0000_s1030" type="#_x0000_t202" style="position:absolute;left:1948;top:7167;width:804;height:370" filled="f" stroked="f">
              <v:textbox>
                <w:txbxContent>
                  <w:p w:rsidR="00193B6C" w:rsidRPr="00193B6C" w:rsidRDefault="00193B6C">
                    <w:pPr>
                      <w:rPr>
                        <w:lang w:val="en-US"/>
                      </w:rPr>
                    </w:pPr>
                    <w:r>
                      <w:rPr>
                        <w:lang w:val="en-US"/>
                      </w:rPr>
                      <w:t>7%</w:t>
                    </w:r>
                  </w:p>
                </w:txbxContent>
              </v:textbox>
            </v:shape>
            <v:shapetype id="_x0000_t32" coordsize="21600,21600" o:spt="32" o:oned="t" path="m,l21600,21600e" filled="f">
              <v:path arrowok="t" fillok="f" o:connecttype="none"/>
              <o:lock v:ext="edit" shapetype="t"/>
            </v:shapetype>
            <v:shape id="_x0000_s1026" type="#_x0000_t32" style="position:absolute;left:2562;top:7709;width:3385;height:0" o:connectortype="straight">
              <v:stroke endarrow="block"/>
            </v:shape>
            <v:shape id="_x0000_s1027" type="#_x0000_t32" style="position:absolute;left:2562;top:5222;width:0;height:2488;flip:y" o:connectortype="straight">
              <v:stroke endarrow="block"/>
            </v:shape>
            <v:shape id="_x0000_s1028" style="position:absolute;left:3154;top:5801;width:2019;height:1253" coordsize="2019,1253" path="m2019,c1629,32,1240,65,953,149,666,233,446,380,299,505,152,630,124,772,74,897,24,1022,12,1194,,1253e" filled="f">
              <v:path arrowok="t"/>
            </v:shape>
            <v:shape id="_x0000_s1029" type="#_x0000_t32" style="position:absolute;left:2562;top:5423;width:1548;height:1945;flip:y" o:connectortype="straight" strokecolor="#622423 [1605]"/>
            <v:shape id="_x0000_s1031" type="#_x0000_t202" style="position:absolute;left:1872;top:6254;width:804;height:486" filled="f" stroked="f">
              <v:textbox>
                <w:txbxContent>
                  <w:p w:rsidR="00193B6C" w:rsidRPr="00193B6C" w:rsidRDefault="005A205C" w:rsidP="00193B6C">
                    <w:pPr>
                      <w:rPr>
                        <w:lang w:val="en-US"/>
                      </w:rPr>
                    </w:pPr>
                    <w:r>
                      <w:rPr>
                        <w:lang w:val="en-US"/>
                      </w:rPr>
                      <w:t>17</w:t>
                    </w:r>
                    <w:r w:rsidR="00193B6C">
                      <w:rPr>
                        <w:lang w:val="en-US"/>
                      </w:rPr>
                      <w:t>%</w:t>
                    </w:r>
                  </w:p>
                </w:txbxContent>
              </v:textbox>
            </v:shape>
            <v:shape id="_x0000_s1032" type="#_x0000_t202" style="position:absolute;left:2971;top:6064;width:416;height:334" filled="f" stroked="f">
              <v:textbox>
                <w:txbxContent>
                  <w:p w:rsidR="00193B6C" w:rsidRPr="00193B6C" w:rsidRDefault="00193B6C" w:rsidP="00193B6C">
                    <w:pPr>
                      <w:rPr>
                        <w:lang w:val="en-US"/>
                      </w:rPr>
                    </w:pPr>
                    <w:r>
                      <w:rPr>
                        <w:lang w:val="en-US"/>
                      </w:rPr>
                      <w:t>M</w:t>
                    </w:r>
                  </w:p>
                </w:txbxContent>
              </v:textbox>
            </v:shape>
            <v:shape id="_x0000_s1033" type="#_x0000_t202" style="position:absolute;left:2971;top:7709;width:804;height:486" filled="f" stroked="f">
              <v:textbox>
                <w:txbxContent>
                  <w:p w:rsidR="00193B6C" w:rsidRPr="00193B6C" w:rsidRDefault="005A205C" w:rsidP="005A205C">
                    <w:pPr>
                      <w:jc w:val="center"/>
                      <w:rPr>
                        <w:lang w:val="en-US"/>
                      </w:rPr>
                    </w:pPr>
                    <w:r>
                      <w:rPr>
                        <w:lang w:val="en-US"/>
                      </w:rPr>
                      <w:t>8</w:t>
                    </w:r>
                    <w:proofErr w:type="gramStart"/>
                    <w:r>
                      <w:rPr>
                        <w:lang w:val="en-US"/>
                      </w:rPr>
                      <w:t>,3</w:t>
                    </w:r>
                    <w:proofErr w:type="gramEnd"/>
                    <w:r w:rsidR="00193B6C">
                      <w:rPr>
                        <w:lang w:val="en-US"/>
                      </w:rPr>
                      <w:t>%</w:t>
                    </w:r>
                  </w:p>
                </w:txbxContent>
              </v:textbox>
            </v:shape>
            <v:shape id="_x0000_s1034" type="#_x0000_t202" style="position:absolute;left:5832;top:7709;width:470;height:486" filled="f" stroked="f">
              <v:textbox>
                <w:txbxContent>
                  <w:p w:rsidR="00193B6C" w:rsidRPr="00193B6C" w:rsidRDefault="00193B6C" w:rsidP="00193B6C">
                    <w:proofErr w:type="gramStart"/>
                    <w:r>
                      <w:rPr>
                        <w:lang w:val="en-US"/>
                      </w:rPr>
                      <w:t>σ</w:t>
                    </w:r>
                    <w:proofErr w:type="gramEnd"/>
                  </w:p>
                </w:txbxContent>
              </v:textbox>
            </v:shape>
            <v:shape id="_x0000_s1035" type="#_x0000_t202" style="position:absolute;left:2092;top:5222;width:470;height:486" filled="f" stroked="f">
              <v:textbox>
                <w:txbxContent>
                  <w:p w:rsidR="00193B6C" w:rsidRPr="00193B6C" w:rsidRDefault="00193B6C" w:rsidP="00193B6C">
                    <w:r>
                      <w:rPr>
                        <w:lang w:val="en-US"/>
                      </w:rPr>
                      <w:t>R</w:t>
                    </w:r>
                  </w:p>
                </w:txbxContent>
              </v:textbox>
            </v:shape>
            <v:shape id="_x0000_s1037" type="#_x0000_t202" style="position:absolute;left:3882;top:6740;width:416;height:334" filled="f" stroked="f">
              <v:textbox>
                <w:txbxContent>
                  <w:p w:rsidR="00D9111C" w:rsidRPr="00193B6C" w:rsidRDefault="00D9111C" w:rsidP="00D9111C">
                    <w:pPr>
                      <w:rPr>
                        <w:lang w:val="en-US"/>
                      </w:rPr>
                    </w:pPr>
                    <w:r>
                      <w:rPr>
                        <w:lang w:val="en-US"/>
                      </w:rPr>
                      <w:t>A</w:t>
                    </w:r>
                  </w:p>
                </w:txbxContent>
              </v:textbox>
            </v:shape>
            <v:shape id="_x0000_s1038" type="#_x0000_t202" style="position:absolute;left:4415;top:6212;width:416;height:334" filled="f" stroked="f">
              <v:textbox>
                <w:txbxContent>
                  <w:p w:rsidR="00D9111C" w:rsidRPr="00D9111C" w:rsidRDefault="00D9111C" w:rsidP="00D9111C">
                    <w:pPr>
                      <w:rPr>
                        <w:lang w:val="en-US"/>
                      </w:rPr>
                    </w:pPr>
                    <w:r>
                      <w:rPr>
                        <w:lang w:val="en-US"/>
                      </w:rPr>
                      <w:t>B</w:t>
                    </w:r>
                  </w:p>
                </w:txbxContent>
              </v:textbox>
            </v:shape>
            <v:shape id="_x0000_s1039" type="#_x0000_t202" style="position:absolute;left:5059;top:5878;width:416;height:334" filled="f" stroked="f">
              <v:textbox>
                <w:txbxContent>
                  <w:p w:rsidR="005A205C" w:rsidRPr="00D9111C" w:rsidRDefault="005A205C" w:rsidP="005A205C">
                    <w:pPr>
                      <w:rPr>
                        <w:lang w:val="en-US"/>
                      </w:rPr>
                    </w:pPr>
                    <w:r>
                      <w:rPr>
                        <w:lang w:val="en-US"/>
                      </w:rPr>
                      <w:t>C</w:t>
                    </w:r>
                  </w:p>
                </w:txbxContent>
              </v:textbox>
            </v:shape>
            <v:shape id="_x0000_s1040" type="#_x0000_t202" style="position:absolute;left:1948;top:6638;width:1023;height:334" filled="f" stroked="f">
              <v:textbox>
                <w:txbxContent>
                  <w:p w:rsidR="005A205C" w:rsidRPr="00193B6C" w:rsidRDefault="005A205C" w:rsidP="005A205C">
                    <w:pPr>
                      <w:rPr>
                        <w:lang w:val="en-US"/>
                      </w:rPr>
                    </w:pPr>
                    <w:proofErr w:type="spellStart"/>
                    <w:r>
                      <w:rPr>
                        <w:lang w:val="en-US"/>
                      </w:rPr>
                      <w:t>Cliente</w:t>
                    </w:r>
                    <w:proofErr w:type="spellEnd"/>
                  </w:p>
                </w:txbxContent>
              </v:textbox>
            </v:shape>
            <v:oval id="_x0000_s1041" style="position:absolute;left:2883;top:6888;width:88;height:84" fillcolor="black [3213]"/>
            <v:oval id="_x0000_s1042" style="position:absolute;left:3299;top:6314;width:88;height:84" fillcolor="black [3213]"/>
            <v:oval id="_x0000_s1043" style="position:absolute;left:4415;top:6254;width:88;height:84" fillcolor="black [3213]"/>
            <v:oval id="_x0000_s1044" style="position:absolute;left:3920;top:6736;width:88;height:84" fillcolor="black [3213]"/>
            <v:oval id="_x0000_s1046" style="position:absolute;left:5173;top:5878;width:88;height:84" fillcolor="black [3213]"/>
          </v:group>
        </w:pict>
      </w:r>
      <w:r w:rsidR="00EB0B22">
        <w:rPr>
          <w:lang w:val="es-ES_tradnl"/>
        </w:rPr>
        <w:t xml:space="preserve">Si los tres activos: A, B y C; son los únicos activos riesgosos disponibles en el mercado. </w:t>
      </w:r>
      <w:r w:rsidR="00717D33">
        <w:rPr>
          <w:lang w:val="es-ES_tradnl"/>
        </w:rPr>
        <w:t>Dibuje la LMC de</w:t>
      </w:r>
      <w:r w:rsidR="00EB0B22">
        <w:rPr>
          <w:lang w:val="es-ES_tradnl"/>
        </w:rPr>
        <w:t>l mercado, ubique los activos, la cartera de mercado y su inversión.</w:t>
      </w:r>
      <w:r w:rsidR="008D70AD">
        <w:rPr>
          <w:lang w:val="es-ES_tradnl"/>
        </w:rPr>
        <w:t xml:space="preserve"> (</w:t>
      </w:r>
      <w:r w:rsidR="00EA7F48">
        <w:rPr>
          <w:lang w:val="es-ES_tradnl"/>
        </w:rPr>
        <w:t>2</w:t>
      </w:r>
      <w:r w:rsidR="008D70AD">
        <w:rPr>
          <w:lang w:val="es-ES_tradnl"/>
        </w:rPr>
        <w:t>,</w:t>
      </w:r>
      <w:r w:rsidR="00EA7F48">
        <w:rPr>
          <w:lang w:val="es-ES_tradnl"/>
        </w:rPr>
        <w:t xml:space="preserve">5 </w:t>
      </w:r>
      <w:proofErr w:type="spellStart"/>
      <w:r w:rsidR="00EA7F48">
        <w:rPr>
          <w:lang w:val="es-ES_tradnl"/>
        </w:rPr>
        <w:t>ptos</w:t>
      </w:r>
      <w:proofErr w:type="spellEnd"/>
      <w:r w:rsidR="00EA7F48">
        <w:rPr>
          <w:lang w:val="es-ES_tradnl"/>
        </w:rPr>
        <w:t>.)</w:t>
      </w:r>
    </w:p>
    <w:p w:rsidR="00AC62C3" w:rsidRDefault="00AC62C3" w:rsidP="00AC62C3">
      <w:pPr>
        <w:rPr>
          <w:lang w:val="es-ES_tradnl"/>
        </w:rPr>
      </w:pPr>
    </w:p>
    <w:p w:rsidR="00193B6C" w:rsidRDefault="00193B6C" w:rsidP="00AC62C3">
      <w:pPr>
        <w:rPr>
          <w:lang w:val="es-ES_tradnl"/>
        </w:rPr>
      </w:pPr>
    </w:p>
    <w:p w:rsidR="00EA7F48" w:rsidRDefault="00EA7F48" w:rsidP="00AC62C3">
      <w:pPr>
        <w:rPr>
          <w:lang w:val="es-ES_tradnl"/>
        </w:rPr>
      </w:pPr>
    </w:p>
    <w:p w:rsidR="00571F2E" w:rsidRDefault="00571F2E" w:rsidP="00AC62C3">
      <w:pPr>
        <w:rPr>
          <w:lang w:val="es-ES_tradnl"/>
        </w:rPr>
      </w:pPr>
    </w:p>
    <w:p w:rsidR="00AC62C3" w:rsidRDefault="00AC62C3" w:rsidP="00AC62C3">
      <w:pPr>
        <w:rPr>
          <w:lang w:val="es-ES_tradnl"/>
        </w:rPr>
      </w:pPr>
    </w:p>
    <w:p w:rsidR="00AC62C3" w:rsidRDefault="00AC62C3" w:rsidP="00AC62C3">
      <w:pPr>
        <w:rPr>
          <w:lang w:val="es-ES_tradnl"/>
        </w:rPr>
      </w:pPr>
    </w:p>
    <w:p w:rsidR="00193B6C" w:rsidRPr="00717D33" w:rsidRDefault="00193B6C" w:rsidP="00AC62C3">
      <w:pPr>
        <w:rPr>
          <w:lang w:val="es-ES_tradnl"/>
        </w:rPr>
      </w:pPr>
    </w:p>
    <w:p w:rsidR="00871BD1" w:rsidRDefault="00871BD1" w:rsidP="008D77FF">
      <w:pPr>
        <w:pStyle w:val="Heading1"/>
      </w:pPr>
      <w:r>
        <w:t>Pregunta 3</w:t>
      </w:r>
      <w:r w:rsidR="00717D33">
        <w:t xml:space="preserve"> </w:t>
      </w:r>
    </w:p>
    <w:p w:rsidR="001C3CC0" w:rsidRDefault="001C3CC0" w:rsidP="00F35463">
      <w:r>
        <w:t xml:space="preserve">Suponga que </w:t>
      </w:r>
      <w:proofErr w:type="spellStart"/>
      <w:r>
        <w:t>Silverado</w:t>
      </w:r>
      <w:proofErr w:type="spellEnd"/>
      <w:r>
        <w:t xml:space="preserve"> Springs está pensado construir una planta de embotellado de agua. El plan de negocio prevé una tasa de rentabilidad interna del 14% sobre la inversión. Los analistas han identificado las siguientes compañías comparables, junto a sus betas y relación D/P respectiva:</w:t>
      </w:r>
    </w:p>
    <w:tbl>
      <w:tblPr>
        <w:tblStyle w:val="TableGrid"/>
        <w:tblW w:w="0" w:type="auto"/>
        <w:tblInd w:w="108" w:type="dxa"/>
        <w:tblBorders>
          <w:left w:val="none" w:sz="0" w:space="0" w:color="auto"/>
          <w:right w:val="none" w:sz="0" w:space="0" w:color="auto"/>
          <w:insideH w:val="dotted" w:sz="4" w:space="0" w:color="auto"/>
          <w:insideV w:val="none" w:sz="0" w:space="0" w:color="auto"/>
        </w:tblBorders>
        <w:tblLook w:val="04A0"/>
      </w:tblPr>
      <w:tblGrid>
        <w:gridCol w:w="2367"/>
        <w:gridCol w:w="2367"/>
        <w:gridCol w:w="2367"/>
        <w:gridCol w:w="2367"/>
      </w:tblGrid>
      <w:tr w:rsidR="00B2494A" w:rsidTr="00B2494A">
        <w:tc>
          <w:tcPr>
            <w:tcW w:w="2367" w:type="dxa"/>
            <w:tcBorders>
              <w:top w:val="single" w:sz="4" w:space="0" w:color="000000"/>
              <w:bottom w:val="single" w:sz="4" w:space="0" w:color="auto"/>
            </w:tcBorders>
          </w:tcPr>
          <w:p w:rsidR="00B2494A" w:rsidRPr="007119EA" w:rsidRDefault="00B2494A" w:rsidP="002A29C7">
            <w:pPr>
              <w:spacing w:after="0"/>
              <w:rPr>
                <w:b/>
                <w:lang w:val="es-ES_tradnl"/>
              </w:rPr>
            </w:pPr>
            <w:r>
              <w:rPr>
                <w:b/>
                <w:lang w:val="es-ES_tradnl"/>
              </w:rPr>
              <w:t>Compañía</w:t>
            </w:r>
          </w:p>
        </w:tc>
        <w:tc>
          <w:tcPr>
            <w:tcW w:w="2367" w:type="dxa"/>
            <w:tcBorders>
              <w:top w:val="single" w:sz="4" w:space="0" w:color="000000"/>
              <w:bottom w:val="single" w:sz="4" w:space="0" w:color="auto"/>
            </w:tcBorders>
          </w:tcPr>
          <w:p w:rsidR="00B2494A" w:rsidRPr="007119EA" w:rsidRDefault="00B2494A" w:rsidP="001C3CC0">
            <w:pPr>
              <w:spacing w:after="0"/>
              <w:jc w:val="center"/>
              <w:rPr>
                <w:b/>
                <w:lang w:val="es-ES_tradnl"/>
              </w:rPr>
            </w:pPr>
            <w:r>
              <w:rPr>
                <w:b/>
                <w:lang w:val="es-ES_tradnl"/>
              </w:rPr>
              <w:t>Beta (L)</w:t>
            </w:r>
          </w:p>
        </w:tc>
        <w:tc>
          <w:tcPr>
            <w:tcW w:w="2367" w:type="dxa"/>
            <w:tcBorders>
              <w:top w:val="single" w:sz="4" w:space="0" w:color="000000"/>
              <w:bottom w:val="single" w:sz="4" w:space="0" w:color="auto"/>
            </w:tcBorders>
          </w:tcPr>
          <w:p w:rsidR="00B2494A" w:rsidRPr="007119EA" w:rsidRDefault="00B2494A" w:rsidP="002A29C7">
            <w:pPr>
              <w:spacing w:after="0"/>
              <w:jc w:val="center"/>
              <w:rPr>
                <w:b/>
                <w:lang w:val="es-ES_tradnl"/>
              </w:rPr>
            </w:pPr>
            <w:r>
              <w:rPr>
                <w:b/>
                <w:lang w:val="es-ES_tradnl"/>
              </w:rPr>
              <w:t>D/P</w:t>
            </w:r>
          </w:p>
        </w:tc>
        <w:tc>
          <w:tcPr>
            <w:tcW w:w="2367" w:type="dxa"/>
            <w:tcBorders>
              <w:top w:val="single" w:sz="4" w:space="0" w:color="000000"/>
              <w:bottom w:val="single" w:sz="4" w:space="0" w:color="auto"/>
            </w:tcBorders>
          </w:tcPr>
          <w:p w:rsidR="00B2494A" w:rsidRDefault="00B2494A" w:rsidP="002A29C7">
            <w:pPr>
              <w:spacing w:after="0"/>
              <w:jc w:val="center"/>
              <w:rPr>
                <w:b/>
                <w:lang w:val="es-ES_tradnl"/>
              </w:rPr>
            </w:pPr>
            <w:r>
              <w:rPr>
                <w:b/>
                <w:lang w:val="es-ES_tradnl"/>
              </w:rPr>
              <w:t>Impuesto</w:t>
            </w:r>
          </w:p>
        </w:tc>
      </w:tr>
      <w:tr w:rsidR="00B2494A" w:rsidTr="000567AA">
        <w:tc>
          <w:tcPr>
            <w:tcW w:w="2367" w:type="dxa"/>
            <w:tcBorders>
              <w:top w:val="single" w:sz="4" w:space="0" w:color="auto"/>
            </w:tcBorders>
          </w:tcPr>
          <w:p w:rsidR="00B2494A" w:rsidRDefault="00B2494A" w:rsidP="001C3CC0">
            <w:pPr>
              <w:spacing w:after="0"/>
              <w:rPr>
                <w:lang w:val="es-ES_tradnl"/>
              </w:rPr>
            </w:pPr>
            <w:r>
              <w:rPr>
                <w:lang w:val="es-ES_tradnl"/>
              </w:rPr>
              <w:t>Compañía 1</w:t>
            </w:r>
          </w:p>
        </w:tc>
        <w:tc>
          <w:tcPr>
            <w:tcW w:w="2367" w:type="dxa"/>
            <w:tcBorders>
              <w:top w:val="single" w:sz="4" w:space="0" w:color="auto"/>
            </w:tcBorders>
            <w:vAlign w:val="bottom"/>
          </w:tcPr>
          <w:p w:rsidR="00B2494A" w:rsidRPr="00B2494A" w:rsidRDefault="00B2494A" w:rsidP="00B2494A">
            <w:pPr>
              <w:spacing w:after="0"/>
              <w:jc w:val="center"/>
              <w:rPr>
                <w:lang w:val="es-ES_tradnl"/>
              </w:rPr>
            </w:pPr>
            <w:r w:rsidRPr="00B2494A">
              <w:rPr>
                <w:lang w:val="es-ES_tradnl"/>
              </w:rPr>
              <w:t>2,4</w:t>
            </w:r>
          </w:p>
        </w:tc>
        <w:tc>
          <w:tcPr>
            <w:tcW w:w="2367" w:type="dxa"/>
            <w:tcBorders>
              <w:top w:val="single" w:sz="4" w:space="0" w:color="auto"/>
            </w:tcBorders>
            <w:vAlign w:val="bottom"/>
          </w:tcPr>
          <w:p w:rsidR="00B2494A" w:rsidRPr="00B2494A" w:rsidRDefault="00B2494A" w:rsidP="00B2494A">
            <w:pPr>
              <w:spacing w:after="0"/>
              <w:jc w:val="center"/>
              <w:rPr>
                <w:lang w:val="es-ES_tradnl"/>
              </w:rPr>
            </w:pPr>
            <w:r w:rsidRPr="00B2494A">
              <w:rPr>
                <w:lang w:val="es-ES_tradnl"/>
              </w:rPr>
              <w:t>50%</w:t>
            </w:r>
          </w:p>
        </w:tc>
        <w:tc>
          <w:tcPr>
            <w:tcW w:w="2367" w:type="dxa"/>
            <w:tcBorders>
              <w:top w:val="single" w:sz="4" w:space="0" w:color="auto"/>
            </w:tcBorders>
            <w:vAlign w:val="bottom"/>
          </w:tcPr>
          <w:p w:rsidR="00B2494A" w:rsidRPr="00B2494A" w:rsidRDefault="00B2494A" w:rsidP="00B2494A">
            <w:pPr>
              <w:spacing w:after="0"/>
              <w:jc w:val="center"/>
              <w:rPr>
                <w:lang w:val="es-ES_tradnl"/>
              </w:rPr>
            </w:pPr>
            <w:r w:rsidRPr="00B2494A">
              <w:rPr>
                <w:lang w:val="es-ES_tradnl"/>
              </w:rPr>
              <w:t>15%</w:t>
            </w:r>
          </w:p>
        </w:tc>
      </w:tr>
      <w:tr w:rsidR="00B2494A" w:rsidTr="000567AA">
        <w:tc>
          <w:tcPr>
            <w:tcW w:w="2367" w:type="dxa"/>
          </w:tcPr>
          <w:p w:rsidR="00B2494A" w:rsidRDefault="00B2494A" w:rsidP="002A29C7">
            <w:pPr>
              <w:spacing w:after="0"/>
              <w:rPr>
                <w:lang w:val="es-ES_tradnl"/>
              </w:rPr>
            </w:pPr>
            <w:r>
              <w:rPr>
                <w:lang w:val="es-ES_tradnl"/>
              </w:rPr>
              <w:t>Compañía 2</w:t>
            </w:r>
          </w:p>
        </w:tc>
        <w:tc>
          <w:tcPr>
            <w:tcW w:w="2367" w:type="dxa"/>
            <w:vAlign w:val="bottom"/>
          </w:tcPr>
          <w:p w:rsidR="00B2494A" w:rsidRPr="00B2494A" w:rsidRDefault="00B2494A" w:rsidP="00B2494A">
            <w:pPr>
              <w:spacing w:after="0"/>
              <w:jc w:val="center"/>
              <w:rPr>
                <w:lang w:val="es-ES_tradnl"/>
              </w:rPr>
            </w:pPr>
            <w:r w:rsidRPr="00B2494A">
              <w:rPr>
                <w:lang w:val="es-ES_tradnl"/>
              </w:rPr>
              <w:t>0,9</w:t>
            </w:r>
          </w:p>
        </w:tc>
        <w:tc>
          <w:tcPr>
            <w:tcW w:w="2367" w:type="dxa"/>
            <w:vAlign w:val="bottom"/>
          </w:tcPr>
          <w:p w:rsidR="00B2494A" w:rsidRPr="00B2494A" w:rsidRDefault="00B2494A" w:rsidP="00B2494A">
            <w:pPr>
              <w:spacing w:after="0"/>
              <w:jc w:val="center"/>
              <w:rPr>
                <w:lang w:val="es-ES_tradnl"/>
              </w:rPr>
            </w:pPr>
            <w:r w:rsidRPr="00B2494A">
              <w:rPr>
                <w:lang w:val="es-ES_tradnl"/>
              </w:rPr>
              <w:t>30%</w:t>
            </w:r>
          </w:p>
        </w:tc>
        <w:tc>
          <w:tcPr>
            <w:tcW w:w="2367" w:type="dxa"/>
            <w:vAlign w:val="bottom"/>
          </w:tcPr>
          <w:p w:rsidR="00B2494A" w:rsidRPr="00B2494A" w:rsidRDefault="00B2494A" w:rsidP="00B2494A">
            <w:pPr>
              <w:spacing w:after="0"/>
              <w:jc w:val="center"/>
              <w:rPr>
                <w:lang w:val="es-ES_tradnl"/>
              </w:rPr>
            </w:pPr>
            <w:r w:rsidRPr="00B2494A">
              <w:rPr>
                <w:lang w:val="es-ES_tradnl"/>
              </w:rPr>
              <w:t>20%</w:t>
            </w:r>
          </w:p>
        </w:tc>
      </w:tr>
      <w:tr w:rsidR="00B2494A" w:rsidTr="000567AA">
        <w:tc>
          <w:tcPr>
            <w:tcW w:w="2367" w:type="dxa"/>
          </w:tcPr>
          <w:p w:rsidR="00B2494A" w:rsidRDefault="00B2494A" w:rsidP="002A29C7">
            <w:pPr>
              <w:spacing w:after="0"/>
              <w:rPr>
                <w:lang w:val="es-ES_tradnl"/>
              </w:rPr>
            </w:pPr>
            <w:r>
              <w:rPr>
                <w:lang w:val="es-ES_tradnl"/>
              </w:rPr>
              <w:t>Compañía 3</w:t>
            </w:r>
          </w:p>
        </w:tc>
        <w:tc>
          <w:tcPr>
            <w:tcW w:w="2367" w:type="dxa"/>
            <w:vAlign w:val="bottom"/>
          </w:tcPr>
          <w:p w:rsidR="00B2494A" w:rsidRPr="00B2494A" w:rsidRDefault="00B2494A" w:rsidP="00B2494A">
            <w:pPr>
              <w:spacing w:after="0"/>
              <w:jc w:val="center"/>
              <w:rPr>
                <w:lang w:val="es-ES_tradnl"/>
              </w:rPr>
            </w:pPr>
            <w:r w:rsidRPr="00B2494A">
              <w:rPr>
                <w:lang w:val="es-ES_tradnl"/>
              </w:rPr>
              <w:t>1,3</w:t>
            </w:r>
          </w:p>
        </w:tc>
        <w:tc>
          <w:tcPr>
            <w:tcW w:w="2367" w:type="dxa"/>
            <w:vAlign w:val="bottom"/>
          </w:tcPr>
          <w:p w:rsidR="00B2494A" w:rsidRPr="00B2494A" w:rsidRDefault="00B2494A" w:rsidP="00B2494A">
            <w:pPr>
              <w:spacing w:after="0"/>
              <w:jc w:val="center"/>
              <w:rPr>
                <w:lang w:val="es-ES_tradnl"/>
              </w:rPr>
            </w:pPr>
            <w:r w:rsidRPr="00B2494A">
              <w:rPr>
                <w:lang w:val="es-ES_tradnl"/>
              </w:rPr>
              <w:t>70%</w:t>
            </w:r>
          </w:p>
        </w:tc>
        <w:tc>
          <w:tcPr>
            <w:tcW w:w="2367" w:type="dxa"/>
            <w:vAlign w:val="bottom"/>
          </w:tcPr>
          <w:p w:rsidR="00B2494A" w:rsidRPr="00B2494A" w:rsidRDefault="00B2494A" w:rsidP="00B2494A">
            <w:pPr>
              <w:spacing w:after="0"/>
              <w:jc w:val="center"/>
              <w:rPr>
                <w:lang w:val="es-ES_tradnl"/>
              </w:rPr>
            </w:pPr>
            <w:r w:rsidRPr="00B2494A">
              <w:rPr>
                <w:lang w:val="es-ES_tradnl"/>
              </w:rPr>
              <w:t>15%</w:t>
            </w:r>
          </w:p>
        </w:tc>
      </w:tr>
    </w:tbl>
    <w:p w:rsidR="00871BD1" w:rsidRDefault="00871BD1" w:rsidP="00F35463"/>
    <w:p w:rsidR="009140B8" w:rsidRDefault="00A66692" w:rsidP="00F35463">
      <w:r>
        <w:t>E</w:t>
      </w:r>
      <w:r w:rsidR="001C3CC0">
        <w:t xml:space="preserve">l proyecto se financiaría en un 40% con un crédito a </w:t>
      </w:r>
      <w:r w:rsidR="00C27BD8">
        <w:t>12</w:t>
      </w:r>
      <w:r w:rsidR="001C3CC0">
        <w:t xml:space="preserve">% de interés anual, la tasa de rentabilidad del mercado se estima en un 8%, y la tasa libre de riesgo de referencia es de 4%. </w:t>
      </w:r>
      <w:r w:rsidR="00B2494A">
        <w:t>Suponiendo un beta para la deuda equivalente a cero</w:t>
      </w:r>
      <w:r w:rsidR="009140B8">
        <w:t xml:space="preserve">: </w:t>
      </w:r>
    </w:p>
    <w:p w:rsidR="001C3CC0" w:rsidRDefault="009140B8" w:rsidP="009140B8">
      <w:pPr>
        <w:numPr>
          <w:ilvl w:val="0"/>
          <w:numId w:val="22"/>
        </w:numPr>
      </w:pPr>
      <w:r>
        <w:t>D</w:t>
      </w:r>
      <w:r w:rsidR="001C3CC0">
        <w:t>etermine la tasa de descuento adecuada para descontar los flujos de caja proyectados.</w:t>
      </w:r>
      <w:r w:rsidR="00D324C6">
        <w:t xml:space="preserve"> (5 </w:t>
      </w:r>
      <w:proofErr w:type="spellStart"/>
      <w:r w:rsidR="00D324C6">
        <w:t>ptos</w:t>
      </w:r>
      <w:proofErr w:type="spellEnd"/>
      <w:r w:rsidR="00D324C6">
        <w:t>.)</w:t>
      </w:r>
    </w:p>
    <w:p w:rsidR="00E058AE" w:rsidRDefault="00E058AE" w:rsidP="00E058AE">
      <w:r>
        <w:t xml:space="preserve">Para beta deuda=0, corresponde </w:t>
      </w:r>
      <m:oMath>
        <m:sSub>
          <m:sSubPr>
            <m:ctrlPr>
              <w:rPr>
                <w:rFonts w:ascii="Cambria Math" w:hAnsi="Cambria Math"/>
                <w:i/>
              </w:rPr>
            </m:ctrlPr>
          </m:sSubPr>
          <m:e>
            <m:r>
              <w:rPr>
                <w:rFonts w:ascii="Cambria Math" w:hAnsi="Cambria Math"/>
              </w:rPr>
              <m:t>β</m:t>
            </m:r>
          </m:e>
          <m:sub>
            <m:r>
              <w:rPr>
                <w:rFonts w:ascii="Cambria Math" w:hAnsi="Cambria Math"/>
              </w:rPr>
              <m:t>L</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U</m:t>
            </m:r>
          </m:sub>
        </m:sSub>
        <m:r>
          <w:rPr>
            <w:rFonts w:ascii="Cambria Math" w:hAnsi="Cambria Math"/>
          </w:rPr>
          <m:t>∙</m:t>
        </m:r>
        <m:d>
          <m:dPr>
            <m:begChr m:val="["/>
            <m:endChr m:val="]"/>
            <m:ctrlPr>
              <w:rPr>
                <w:rFonts w:ascii="Cambria Math" w:hAnsi="Cambria Math"/>
                <w:i/>
              </w:rPr>
            </m:ctrlPr>
          </m:dPr>
          <m:e>
            <m:r>
              <w:rPr>
                <w:rFonts w:ascii="Cambria Math" w:hAnsi="Cambria Math"/>
              </w:rPr>
              <m:t>1+</m:t>
            </m:r>
            <m:d>
              <m:dPr>
                <m:ctrlPr>
                  <w:rPr>
                    <w:rFonts w:ascii="Cambria Math" w:hAnsi="Cambria Math"/>
                    <w:i/>
                  </w:rPr>
                </m:ctrlPr>
              </m:dPr>
              <m:e>
                <m:r>
                  <w:rPr>
                    <w:rFonts w:ascii="Cambria Math" w:hAnsi="Cambria Math"/>
                  </w:rPr>
                  <m:t>1-T</m:t>
                </m:r>
              </m:e>
            </m:d>
            <m:r>
              <w:rPr>
                <w:rFonts w:ascii="Cambria Math" w:hAnsi="Cambria Math"/>
              </w:rPr>
              <m:t>∙</m:t>
            </m:r>
            <m:f>
              <m:fPr>
                <m:ctrlPr>
                  <w:rPr>
                    <w:rFonts w:ascii="Cambria Math" w:hAnsi="Cambria Math"/>
                    <w:i/>
                  </w:rPr>
                </m:ctrlPr>
              </m:fPr>
              <m:num>
                <m:r>
                  <w:rPr>
                    <w:rFonts w:ascii="Cambria Math" w:hAnsi="Cambria Math"/>
                  </w:rPr>
                  <m:t>D</m:t>
                </m:r>
              </m:num>
              <m:den>
                <m:r>
                  <w:rPr>
                    <w:rFonts w:ascii="Cambria Math" w:hAnsi="Cambria Math"/>
                  </w:rPr>
                  <m:t>P</m:t>
                </m:r>
              </m:den>
            </m:f>
          </m:e>
        </m:d>
      </m:oMath>
    </w:p>
    <w:p w:rsidR="00E058AE" w:rsidRDefault="00E058AE" w:rsidP="00E058AE">
      <w:r>
        <w:t xml:space="preserve">Con esta expresión se calcula el beta </w:t>
      </w:r>
      <w:proofErr w:type="spellStart"/>
      <w:r>
        <w:t>desapalancado</w:t>
      </w:r>
      <w:proofErr w:type="spellEnd"/>
      <w:r>
        <w:t xml:space="preserve"> de las compañías de referencia (</w:t>
      </w:r>
      <w:proofErr w:type="spellStart"/>
      <w:r>
        <w:t>Bu</w:t>
      </w:r>
      <w:proofErr w:type="spellEnd"/>
      <w:r>
        <w:t xml:space="preserve">), a partir de los cuales que utiliza en </w:t>
      </w:r>
      <w:proofErr w:type="spellStart"/>
      <w:r>
        <w:t>Bu</w:t>
      </w:r>
      <w:proofErr w:type="spellEnd"/>
      <w:r>
        <w:t xml:space="preserve"> promedio para calcular el beta relevante para evaluar el proyecto.</w:t>
      </w:r>
    </w:p>
    <w:tbl>
      <w:tblPr>
        <w:tblStyle w:val="TableGrid"/>
        <w:tblW w:w="0" w:type="auto"/>
        <w:tblInd w:w="108" w:type="dxa"/>
        <w:tblBorders>
          <w:left w:val="none" w:sz="0" w:space="0" w:color="auto"/>
          <w:right w:val="none" w:sz="0" w:space="0" w:color="auto"/>
          <w:insideH w:val="dotted" w:sz="4" w:space="0" w:color="auto"/>
          <w:insideV w:val="none" w:sz="0" w:space="0" w:color="auto"/>
        </w:tblBorders>
        <w:tblLook w:val="04A0"/>
      </w:tblPr>
      <w:tblGrid>
        <w:gridCol w:w="2367"/>
        <w:gridCol w:w="2367"/>
      </w:tblGrid>
      <w:tr w:rsidR="00A01F58" w:rsidRPr="007119EA" w:rsidTr="002A29C7">
        <w:tc>
          <w:tcPr>
            <w:tcW w:w="2367" w:type="dxa"/>
            <w:tcBorders>
              <w:top w:val="single" w:sz="4" w:space="0" w:color="000000"/>
              <w:bottom w:val="single" w:sz="4" w:space="0" w:color="auto"/>
            </w:tcBorders>
          </w:tcPr>
          <w:p w:rsidR="00A01F58" w:rsidRPr="007119EA" w:rsidRDefault="00A01F58" w:rsidP="002A29C7">
            <w:pPr>
              <w:spacing w:after="0"/>
              <w:rPr>
                <w:b/>
                <w:lang w:val="es-ES_tradnl"/>
              </w:rPr>
            </w:pPr>
            <w:r>
              <w:rPr>
                <w:b/>
                <w:lang w:val="es-ES_tradnl"/>
              </w:rPr>
              <w:t>Compañía</w:t>
            </w:r>
          </w:p>
        </w:tc>
        <w:tc>
          <w:tcPr>
            <w:tcW w:w="2367" w:type="dxa"/>
            <w:tcBorders>
              <w:top w:val="single" w:sz="4" w:space="0" w:color="000000"/>
              <w:bottom w:val="single" w:sz="4" w:space="0" w:color="auto"/>
            </w:tcBorders>
          </w:tcPr>
          <w:p w:rsidR="00A01F58" w:rsidRPr="007119EA" w:rsidRDefault="00A01F58" w:rsidP="00A01F58">
            <w:pPr>
              <w:spacing w:after="0"/>
              <w:jc w:val="center"/>
              <w:rPr>
                <w:b/>
                <w:lang w:val="es-ES_tradnl"/>
              </w:rPr>
            </w:pPr>
            <w:proofErr w:type="spellStart"/>
            <w:r>
              <w:rPr>
                <w:b/>
                <w:lang w:val="es-ES_tradnl"/>
              </w:rPr>
              <w:t>BetaU</w:t>
            </w:r>
            <w:proofErr w:type="spellEnd"/>
          </w:p>
        </w:tc>
      </w:tr>
      <w:tr w:rsidR="00A01F58" w:rsidRPr="00B2494A" w:rsidTr="002A29C7">
        <w:tc>
          <w:tcPr>
            <w:tcW w:w="2367" w:type="dxa"/>
            <w:tcBorders>
              <w:top w:val="single" w:sz="4" w:space="0" w:color="auto"/>
            </w:tcBorders>
          </w:tcPr>
          <w:p w:rsidR="00A01F58" w:rsidRDefault="00A01F58" w:rsidP="002A29C7">
            <w:pPr>
              <w:spacing w:after="0"/>
              <w:rPr>
                <w:lang w:val="es-ES_tradnl"/>
              </w:rPr>
            </w:pPr>
            <w:r>
              <w:rPr>
                <w:lang w:val="es-ES_tradnl"/>
              </w:rPr>
              <w:t>Compañía 1</w:t>
            </w:r>
          </w:p>
        </w:tc>
        <w:tc>
          <w:tcPr>
            <w:tcW w:w="2367" w:type="dxa"/>
            <w:tcBorders>
              <w:top w:val="single" w:sz="4" w:space="0" w:color="auto"/>
            </w:tcBorders>
            <w:vAlign w:val="bottom"/>
          </w:tcPr>
          <w:p w:rsidR="00A01F58" w:rsidRPr="00B2494A" w:rsidRDefault="00A01F58" w:rsidP="002A29C7">
            <w:pPr>
              <w:spacing w:after="0"/>
              <w:jc w:val="center"/>
              <w:rPr>
                <w:lang w:val="es-ES_tradnl"/>
              </w:rPr>
            </w:pPr>
            <w:r>
              <w:rPr>
                <w:lang w:val="es-ES_tradnl"/>
              </w:rPr>
              <w:t>1,7</w:t>
            </w:r>
          </w:p>
        </w:tc>
      </w:tr>
      <w:tr w:rsidR="00A01F58" w:rsidRPr="00B2494A" w:rsidTr="002A29C7">
        <w:tc>
          <w:tcPr>
            <w:tcW w:w="2367" w:type="dxa"/>
          </w:tcPr>
          <w:p w:rsidR="00A01F58" w:rsidRDefault="00A01F58" w:rsidP="002A29C7">
            <w:pPr>
              <w:spacing w:after="0"/>
              <w:rPr>
                <w:lang w:val="es-ES_tradnl"/>
              </w:rPr>
            </w:pPr>
            <w:r>
              <w:rPr>
                <w:lang w:val="es-ES_tradnl"/>
              </w:rPr>
              <w:t>Compañía 2</w:t>
            </w:r>
          </w:p>
        </w:tc>
        <w:tc>
          <w:tcPr>
            <w:tcW w:w="2367" w:type="dxa"/>
            <w:vAlign w:val="bottom"/>
          </w:tcPr>
          <w:p w:rsidR="00A01F58" w:rsidRPr="00B2494A" w:rsidRDefault="00A01F58" w:rsidP="002A29C7">
            <w:pPr>
              <w:spacing w:after="0"/>
              <w:jc w:val="center"/>
              <w:rPr>
                <w:lang w:val="es-ES_tradnl"/>
              </w:rPr>
            </w:pPr>
            <w:r>
              <w:rPr>
                <w:lang w:val="es-ES_tradnl"/>
              </w:rPr>
              <w:t>0,7</w:t>
            </w:r>
          </w:p>
        </w:tc>
      </w:tr>
      <w:tr w:rsidR="00A01F58" w:rsidRPr="00B2494A" w:rsidTr="002A29C7">
        <w:tc>
          <w:tcPr>
            <w:tcW w:w="2367" w:type="dxa"/>
          </w:tcPr>
          <w:p w:rsidR="00A01F58" w:rsidRDefault="00A01F58" w:rsidP="002A29C7">
            <w:pPr>
              <w:spacing w:after="0"/>
              <w:rPr>
                <w:lang w:val="es-ES_tradnl"/>
              </w:rPr>
            </w:pPr>
            <w:r>
              <w:rPr>
                <w:lang w:val="es-ES_tradnl"/>
              </w:rPr>
              <w:t>Compañía 3</w:t>
            </w:r>
          </w:p>
        </w:tc>
        <w:tc>
          <w:tcPr>
            <w:tcW w:w="2367" w:type="dxa"/>
            <w:vAlign w:val="bottom"/>
          </w:tcPr>
          <w:p w:rsidR="00A01F58" w:rsidRPr="00B2494A" w:rsidRDefault="00A01F58" w:rsidP="002A29C7">
            <w:pPr>
              <w:spacing w:after="0"/>
              <w:jc w:val="center"/>
              <w:rPr>
                <w:lang w:val="es-ES_tradnl"/>
              </w:rPr>
            </w:pPr>
            <w:r>
              <w:rPr>
                <w:lang w:val="es-ES_tradnl"/>
              </w:rPr>
              <w:t>0,8</w:t>
            </w:r>
          </w:p>
        </w:tc>
      </w:tr>
    </w:tbl>
    <w:p w:rsidR="00E058AE" w:rsidRDefault="00E058AE" w:rsidP="00E058AE"/>
    <w:p w:rsidR="00A01F58" w:rsidRDefault="00A01F58" w:rsidP="00E058AE">
      <w:r>
        <w:t>Beta U promedio del sector: 1,08 (promedio de los tres anteriores)</w:t>
      </w:r>
    </w:p>
    <w:p w:rsidR="00A01F58" w:rsidRDefault="00A01F58" w:rsidP="00E058AE">
      <w:r>
        <w:t xml:space="preserve">Beta L del proyecto </w:t>
      </w:r>
      <m:oMath>
        <m:sSub>
          <m:sSubPr>
            <m:ctrlPr>
              <w:rPr>
                <w:rFonts w:ascii="Cambria Math" w:hAnsi="Cambria Math"/>
                <w:i/>
              </w:rPr>
            </m:ctrlPr>
          </m:sSubPr>
          <m:e>
            <m:r>
              <w:rPr>
                <w:rFonts w:ascii="Cambria Math" w:hAnsi="Cambria Math"/>
              </w:rPr>
              <m:t>β</m:t>
            </m:r>
          </m:e>
          <m:sub>
            <m:r>
              <w:rPr>
                <w:rFonts w:ascii="Cambria Math" w:hAnsi="Cambria Math"/>
              </w:rPr>
              <m:t>L</m:t>
            </m:r>
          </m:sub>
        </m:sSub>
        <m:r>
          <w:rPr>
            <w:rFonts w:ascii="Cambria Math" w:hAnsi="Cambria Math"/>
          </w:rPr>
          <m:t>=1,08∙</m:t>
        </m:r>
        <m:d>
          <m:dPr>
            <m:begChr m:val="["/>
            <m:endChr m:val="]"/>
            <m:ctrlPr>
              <w:rPr>
                <w:rFonts w:ascii="Cambria Math" w:hAnsi="Cambria Math"/>
                <w:i/>
              </w:rPr>
            </m:ctrlPr>
          </m:dPr>
          <m:e>
            <m:r>
              <w:rPr>
                <w:rFonts w:ascii="Cambria Math" w:hAnsi="Cambria Math"/>
              </w:rPr>
              <m:t>1+</m:t>
            </m:r>
            <m:d>
              <m:dPr>
                <m:ctrlPr>
                  <w:rPr>
                    <w:rFonts w:ascii="Cambria Math" w:hAnsi="Cambria Math"/>
                    <w:i/>
                  </w:rPr>
                </m:ctrlPr>
              </m:dPr>
              <m:e>
                <m:r>
                  <w:rPr>
                    <w:rFonts w:ascii="Cambria Math" w:hAnsi="Cambria Math"/>
                  </w:rPr>
                  <m:t>1-17%</m:t>
                </m:r>
              </m:e>
            </m:d>
            <m:r>
              <w:rPr>
                <w:rFonts w:ascii="Cambria Math" w:hAnsi="Cambria Math"/>
              </w:rPr>
              <m:t>∙</m:t>
            </m:r>
            <m:f>
              <m:fPr>
                <m:ctrlPr>
                  <w:rPr>
                    <w:rFonts w:ascii="Cambria Math" w:hAnsi="Cambria Math"/>
                    <w:i/>
                  </w:rPr>
                </m:ctrlPr>
              </m:fPr>
              <m:num>
                <m:r>
                  <w:rPr>
                    <w:rFonts w:ascii="Cambria Math" w:hAnsi="Cambria Math"/>
                  </w:rPr>
                  <m:t>40%</m:t>
                </m:r>
              </m:num>
              <m:den>
                <m:r>
                  <w:rPr>
                    <w:rFonts w:ascii="Cambria Math" w:hAnsi="Cambria Math"/>
                  </w:rPr>
                  <m:t>60%</m:t>
                </m:r>
              </m:den>
            </m:f>
          </m:e>
        </m:d>
        <m:r>
          <w:rPr>
            <w:rFonts w:ascii="Cambria Math" w:hAnsi="Cambria Math"/>
          </w:rPr>
          <m:t>=1,67</m:t>
        </m:r>
      </m:oMath>
    </w:p>
    <w:p w:rsidR="00A01F58" w:rsidRDefault="00A01F58" w:rsidP="00E058AE">
      <w:r>
        <w:t>Luego se calcula el costo de capital del patrimonio usando CAPM, de la forma:</w:t>
      </w:r>
    </w:p>
    <w:p w:rsidR="00A01F58" w:rsidRDefault="00BA662D" w:rsidP="00E058AE">
      <m:oMathPara>
        <m:oMathParaPr>
          <m:jc m:val="left"/>
        </m:oMathParaPr>
        <m:oMath>
          <m:sSub>
            <m:sSubPr>
              <m:ctrlPr>
                <w:rPr>
                  <w:rFonts w:ascii="Cambria Math" w:hAnsi="Cambria Math"/>
                  <w:i/>
                </w:rPr>
              </m:ctrlPr>
            </m:sSubPr>
            <m:e>
              <m:r>
                <w:rPr>
                  <w:rFonts w:ascii="Cambria Math" w:hAnsi="Cambria Math"/>
                </w:rPr>
                <m:t>R</m:t>
              </m:r>
            </m:e>
            <m:sub>
              <m:r>
                <w:rPr>
                  <w:rFonts w:ascii="Cambria Math" w:hAnsi="Cambria Math"/>
                </w:rPr>
                <m:t>p</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F</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L</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M</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F</m:t>
                  </m:r>
                </m:sub>
              </m:sSub>
            </m:e>
          </m:d>
          <m:r>
            <w:rPr>
              <w:rFonts w:ascii="Cambria Math" w:hAnsi="Cambria Math"/>
            </w:rPr>
            <m:t>=4%+1,67∙</m:t>
          </m:r>
          <m:d>
            <m:dPr>
              <m:ctrlPr>
                <w:rPr>
                  <w:rFonts w:ascii="Cambria Math" w:hAnsi="Cambria Math"/>
                  <w:i/>
                </w:rPr>
              </m:ctrlPr>
            </m:dPr>
            <m:e>
              <m:r>
                <w:rPr>
                  <w:rFonts w:ascii="Cambria Math" w:hAnsi="Cambria Math"/>
                </w:rPr>
                <m:t>8%-4%</m:t>
              </m:r>
            </m:e>
          </m:d>
          <m:r>
            <w:rPr>
              <w:rFonts w:ascii="Cambria Math" w:hAnsi="Cambria Math"/>
            </w:rPr>
            <m:t>=10,7%</m:t>
          </m:r>
        </m:oMath>
      </m:oMathPara>
    </w:p>
    <w:p w:rsidR="00A01F58" w:rsidRDefault="00A01F58" w:rsidP="00E058AE">
      <w:r>
        <w:t>El costo de capital de la deuda es de 12%</w:t>
      </w:r>
    </w:p>
    <w:p w:rsidR="00A01F58" w:rsidRDefault="00A01F58" w:rsidP="00E058AE">
      <w:r>
        <w:t>Luego, el costo de capital del proyecto (</w:t>
      </w:r>
      <w:proofErr w:type="spellStart"/>
      <w:r>
        <w:t>Rc</w:t>
      </w:r>
      <w:proofErr w:type="spellEnd"/>
      <w:r>
        <w:t>) se calcula como el costo de capital promedio ponderado (WACC)</w:t>
      </w:r>
    </w:p>
    <w:p w:rsidR="00A01F58" w:rsidRDefault="00BA662D" w:rsidP="00E058AE">
      <m:oMathPara>
        <m:oMathParaPr>
          <m:jc m:val="left"/>
        </m:oMathParaPr>
        <m:oMath>
          <m:sSub>
            <m:sSubPr>
              <m:ctrlPr>
                <w:rPr>
                  <w:rFonts w:ascii="Cambria Math" w:hAnsi="Cambria Math"/>
                  <w:i/>
                </w:rPr>
              </m:ctrlPr>
            </m:sSubPr>
            <m:e>
              <m:r>
                <w:rPr>
                  <w:rFonts w:ascii="Cambria Math" w:hAnsi="Cambria Math"/>
                </w:rPr>
                <m:t>R</m:t>
              </m:r>
            </m:e>
            <m:sub>
              <m:r>
                <w:rPr>
                  <w:rFonts w:ascii="Cambria Math" w:hAnsi="Cambria Math"/>
                </w:rPr>
                <m:t>C</m:t>
              </m:r>
            </m:sub>
          </m:sSub>
          <m:r>
            <w:rPr>
              <w:rFonts w:ascii="Cambria Math" w:hAnsi="Cambria Math"/>
            </w:rPr>
            <m:t>=</m:t>
          </m:r>
          <m:f>
            <m:fPr>
              <m:ctrlPr>
                <w:rPr>
                  <w:rFonts w:ascii="Cambria Math" w:hAnsi="Cambria Math"/>
                  <w:i/>
                </w:rPr>
              </m:ctrlPr>
            </m:fPr>
            <m:num>
              <m:r>
                <w:rPr>
                  <w:rFonts w:ascii="Cambria Math" w:hAnsi="Cambria Math"/>
                </w:rPr>
                <m:t>P</m:t>
              </m:r>
            </m:num>
            <m:den>
              <m:r>
                <w:rPr>
                  <w:rFonts w:ascii="Cambria Math" w:hAnsi="Cambria Math"/>
                </w:rPr>
                <m:t>V</m:t>
              </m:r>
            </m:den>
          </m:f>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P</m:t>
              </m:r>
            </m:sub>
          </m:sSub>
          <m:r>
            <w:rPr>
              <w:rFonts w:ascii="Cambria Math" w:hAnsi="Cambria Math"/>
            </w:rPr>
            <m:t>+</m:t>
          </m:r>
          <m:f>
            <m:fPr>
              <m:ctrlPr>
                <w:rPr>
                  <w:rFonts w:ascii="Cambria Math" w:hAnsi="Cambria Math"/>
                  <w:i/>
                </w:rPr>
              </m:ctrlPr>
            </m:fPr>
            <m:num>
              <m:r>
                <w:rPr>
                  <w:rFonts w:ascii="Cambria Math" w:hAnsi="Cambria Math"/>
                </w:rPr>
                <m:t>D</m:t>
              </m:r>
            </m:num>
            <m:den>
              <m:r>
                <w:rPr>
                  <w:rFonts w:ascii="Cambria Math" w:hAnsi="Cambria Math"/>
                </w:rPr>
                <m:t>V</m:t>
              </m:r>
            </m:den>
          </m:f>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D</m:t>
              </m:r>
            </m:sub>
          </m:sSub>
          <m:r>
            <w:rPr>
              <w:rFonts w:ascii="Cambria Math" w:hAnsi="Cambria Math"/>
            </w:rPr>
            <m:t>∙</m:t>
          </m:r>
          <m:d>
            <m:dPr>
              <m:ctrlPr>
                <w:rPr>
                  <w:rFonts w:ascii="Cambria Math" w:hAnsi="Cambria Math"/>
                  <w:i/>
                </w:rPr>
              </m:ctrlPr>
            </m:dPr>
            <m:e>
              <m:r>
                <w:rPr>
                  <w:rFonts w:ascii="Cambria Math" w:hAnsi="Cambria Math"/>
                </w:rPr>
                <m:t>1-T</m:t>
              </m:r>
            </m:e>
          </m:d>
          <m:r>
            <w:rPr>
              <w:rFonts w:ascii="Cambria Math" w:hAnsi="Cambria Math"/>
            </w:rPr>
            <m:t>=60%∙10,7%+40%∙12%∙</m:t>
          </m:r>
          <m:d>
            <m:dPr>
              <m:ctrlPr>
                <w:rPr>
                  <w:rFonts w:ascii="Cambria Math" w:hAnsi="Cambria Math"/>
                  <w:i/>
                </w:rPr>
              </m:ctrlPr>
            </m:dPr>
            <m:e>
              <m:r>
                <w:rPr>
                  <w:rFonts w:ascii="Cambria Math" w:hAnsi="Cambria Math"/>
                </w:rPr>
                <m:t>1-17%</m:t>
              </m:r>
            </m:e>
          </m:d>
          <m:r>
            <w:rPr>
              <w:rFonts w:ascii="Cambria Math" w:hAnsi="Cambria Math"/>
            </w:rPr>
            <m:t>=10,4%</m:t>
          </m:r>
        </m:oMath>
      </m:oMathPara>
    </w:p>
    <w:p w:rsidR="009140B8" w:rsidRDefault="009140B8" w:rsidP="009140B8">
      <w:pPr>
        <w:numPr>
          <w:ilvl w:val="0"/>
          <w:numId w:val="22"/>
        </w:numPr>
      </w:pPr>
      <w:r>
        <w:t xml:space="preserve">Explique la relación de orden </w:t>
      </w:r>
      <w:r w:rsidR="00A01F58">
        <w:t>entre el costo de capital de la deuda, el patrimonio y el proyecto</w:t>
      </w:r>
      <w:r>
        <w:t>.</w:t>
      </w:r>
      <w:r w:rsidR="00D324C6">
        <w:t xml:space="preserve"> (1 </w:t>
      </w:r>
      <w:proofErr w:type="spellStart"/>
      <w:r w:rsidR="00D324C6">
        <w:t>pto</w:t>
      </w:r>
      <w:proofErr w:type="spellEnd"/>
      <w:r w:rsidR="00D324C6">
        <w:t>.)</w:t>
      </w:r>
    </w:p>
    <w:p w:rsidR="00CA3D80" w:rsidRDefault="00CA3D80" w:rsidP="00CA3D80">
      <w:r>
        <w:t xml:space="preserve">Relación de orden: </w:t>
      </w:r>
      <w:proofErr w:type="spellStart"/>
      <w:r>
        <w:t>Rc</w:t>
      </w:r>
      <w:proofErr w:type="spellEnd"/>
      <w:r>
        <w:t>&lt;</w:t>
      </w:r>
      <w:proofErr w:type="spellStart"/>
      <w:r>
        <w:t>Rp</w:t>
      </w:r>
      <w:proofErr w:type="spellEnd"/>
      <w:r>
        <w:t>&lt;</w:t>
      </w:r>
      <w:proofErr w:type="spellStart"/>
      <w:r>
        <w:t>Rd</w:t>
      </w:r>
      <w:proofErr w:type="spellEnd"/>
      <w:r>
        <w:t xml:space="preserve"> </w:t>
      </w:r>
    </w:p>
    <w:p w:rsidR="00CA3D80" w:rsidRDefault="00CA3D80" w:rsidP="00CA3D80">
      <w:r>
        <w:t>El costo de capital del proyecto es menor al costo de capital del patrimonio y de la deuda por que debido al escudo tributario, el costo de la deuda para el proyecto es menor a la tasa de interés.</w:t>
      </w:r>
    </w:p>
    <w:p w:rsidR="00CA3D80" w:rsidRDefault="00BA662D" w:rsidP="00CA3D80">
      <m:oMathPara>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D</m:t>
                  </m:r>
                </m:sub>
              </m:sSub>
              <m:r>
                <w:rPr>
                  <w:rFonts w:ascii="Cambria Math" w:hAnsi="Cambria Math"/>
                </w:rPr>
                <m:t>∙</m:t>
              </m:r>
              <m:d>
                <m:dPr>
                  <m:ctrlPr>
                    <w:rPr>
                      <w:rFonts w:ascii="Cambria Math" w:hAnsi="Cambria Math"/>
                      <w:i/>
                    </w:rPr>
                  </m:ctrlPr>
                </m:dPr>
                <m:e>
                  <m:r>
                    <w:rPr>
                      <w:rFonts w:ascii="Cambria Math" w:hAnsi="Cambria Math"/>
                    </w:rPr>
                    <m:t>1-T</m:t>
                  </m:r>
                </m:e>
              </m:d>
              <m:r>
                <w:rPr>
                  <w:rFonts w:ascii="Cambria Math" w:hAnsi="Cambria Math"/>
                </w:rPr>
                <m:t>=12%∙</m:t>
              </m:r>
              <m:d>
                <m:dPr>
                  <m:ctrlPr>
                    <w:rPr>
                      <w:rFonts w:ascii="Cambria Math" w:hAnsi="Cambria Math"/>
                      <w:i/>
                    </w:rPr>
                  </m:ctrlPr>
                </m:dPr>
                <m:e>
                  <m:r>
                    <w:rPr>
                      <w:rFonts w:ascii="Cambria Math" w:hAnsi="Cambria Math"/>
                    </w:rPr>
                    <m:t>1-17%</m:t>
                  </m:r>
                </m:e>
              </m:d>
              <m:r>
                <w:rPr>
                  <w:rFonts w:ascii="Cambria Math" w:hAnsi="Cambria Math"/>
                </w:rPr>
                <m:t>=10,0%</m:t>
              </m:r>
            </m:e>
          </m:d>
          <m:r>
            <w:rPr>
              <w:rFonts w:ascii="Cambria Math" w:hAnsi="Cambria Math"/>
            </w:rPr>
            <m:t>&lt;</m:t>
          </m:r>
          <m:d>
            <m:dPr>
              <m:begChr m:val="["/>
              <m:endChr m:val="]"/>
              <m:ctrlPr>
                <w:rPr>
                  <w:rFonts w:ascii="Cambria Math" w:hAnsi="Cambria Math"/>
                  <w:i/>
                </w:rPr>
              </m:ctrlPr>
            </m:dPr>
            <m:e>
              <m:r>
                <w:rPr>
                  <w:rFonts w:ascii="Cambria Math" w:hAnsi="Cambria Math"/>
                </w:rPr>
                <m:t>Rc=10,4%</m:t>
              </m:r>
            </m:e>
          </m:d>
          <m:r>
            <w:rPr>
              <w:rFonts w:ascii="Cambria Math" w:hAnsi="Cambria Math"/>
            </w:rPr>
            <m:t>&lt;</m:t>
          </m:r>
          <m:d>
            <m:dPr>
              <m:begChr m:val="["/>
              <m:endChr m:val="]"/>
              <m:ctrlPr>
                <w:rPr>
                  <w:rFonts w:ascii="Cambria Math" w:hAnsi="Cambria Math"/>
                  <w:i/>
                </w:rPr>
              </m:ctrlPr>
            </m:dPr>
            <m:e>
              <m:r>
                <w:rPr>
                  <w:rFonts w:ascii="Cambria Math" w:hAnsi="Cambria Math"/>
                </w:rPr>
                <m:t>Rp=10,7%</m:t>
              </m:r>
            </m:e>
          </m:d>
        </m:oMath>
      </m:oMathPara>
    </w:p>
    <w:p w:rsidR="001C3CC0" w:rsidRPr="006312C6" w:rsidRDefault="001C3CC0" w:rsidP="00F35463"/>
    <w:sectPr w:rsidR="001C3CC0" w:rsidRPr="006312C6" w:rsidSect="0038282F">
      <w:pgSz w:w="12240" w:h="15840"/>
      <w:pgMar w:top="1417" w:right="1440" w:bottom="1417"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A26D2"/>
    <w:multiLevelType w:val="hybridMultilevel"/>
    <w:tmpl w:val="2E7C9EFE"/>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nsid w:val="104724EB"/>
    <w:multiLevelType w:val="hybridMultilevel"/>
    <w:tmpl w:val="0C1AAE6A"/>
    <w:lvl w:ilvl="0" w:tplc="0C0A0019">
      <w:start w:val="1"/>
      <w:numFmt w:val="lowerLetter"/>
      <w:lvlText w:val="%1."/>
      <w:lvlJc w:val="left"/>
      <w:pPr>
        <w:ind w:left="757" w:hanging="360"/>
      </w:pPr>
    </w:lvl>
    <w:lvl w:ilvl="1" w:tplc="0C0A0019" w:tentative="1">
      <w:start w:val="1"/>
      <w:numFmt w:val="lowerLetter"/>
      <w:lvlText w:val="%2."/>
      <w:lvlJc w:val="left"/>
      <w:pPr>
        <w:ind w:left="1477" w:hanging="360"/>
      </w:pPr>
    </w:lvl>
    <w:lvl w:ilvl="2" w:tplc="0C0A001B" w:tentative="1">
      <w:start w:val="1"/>
      <w:numFmt w:val="lowerRoman"/>
      <w:lvlText w:val="%3."/>
      <w:lvlJc w:val="right"/>
      <w:pPr>
        <w:ind w:left="2197" w:hanging="180"/>
      </w:pPr>
    </w:lvl>
    <w:lvl w:ilvl="3" w:tplc="0C0A000F" w:tentative="1">
      <w:start w:val="1"/>
      <w:numFmt w:val="decimal"/>
      <w:lvlText w:val="%4."/>
      <w:lvlJc w:val="left"/>
      <w:pPr>
        <w:ind w:left="2917" w:hanging="360"/>
      </w:pPr>
    </w:lvl>
    <w:lvl w:ilvl="4" w:tplc="0C0A0019" w:tentative="1">
      <w:start w:val="1"/>
      <w:numFmt w:val="lowerLetter"/>
      <w:lvlText w:val="%5."/>
      <w:lvlJc w:val="left"/>
      <w:pPr>
        <w:ind w:left="3637" w:hanging="360"/>
      </w:pPr>
    </w:lvl>
    <w:lvl w:ilvl="5" w:tplc="0C0A001B" w:tentative="1">
      <w:start w:val="1"/>
      <w:numFmt w:val="lowerRoman"/>
      <w:lvlText w:val="%6."/>
      <w:lvlJc w:val="right"/>
      <w:pPr>
        <w:ind w:left="4357" w:hanging="180"/>
      </w:pPr>
    </w:lvl>
    <w:lvl w:ilvl="6" w:tplc="0C0A000F" w:tentative="1">
      <w:start w:val="1"/>
      <w:numFmt w:val="decimal"/>
      <w:lvlText w:val="%7."/>
      <w:lvlJc w:val="left"/>
      <w:pPr>
        <w:ind w:left="5077" w:hanging="360"/>
      </w:pPr>
    </w:lvl>
    <w:lvl w:ilvl="7" w:tplc="0C0A0019" w:tentative="1">
      <w:start w:val="1"/>
      <w:numFmt w:val="lowerLetter"/>
      <w:lvlText w:val="%8."/>
      <w:lvlJc w:val="left"/>
      <w:pPr>
        <w:ind w:left="5797" w:hanging="360"/>
      </w:pPr>
    </w:lvl>
    <w:lvl w:ilvl="8" w:tplc="0C0A001B" w:tentative="1">
      <w:start w:val="1"/>
      <w:numFmt w:val="lowerRoman"/>
      <w:lvlText w:val="%9."/>
      <w:lvlJc w:val="right"/>
      <w:pPr>
        <w:ind w:left="6517" w:hanging="180"/>
      </w:pPr>
    </w:lvl>
  </w:abstractNum>
  <w:abstractNum w:abstractNumId="2">
    <w:nsid w:val="28673750"/>
    <w:multiLevelType w:val="hybridMultilevel"/>
    <w:tmpl w:val="66A893B2"/>
    <w:lvl w:ilvl="0" w:tplc="DE7CEC2C">
      <w:start w:val="1"/>
      <w:numFmt w:val="decimal"/>
      <w:lvlText w:val="%1."/>
      <w:lvlJc w:val="left"/>
      <w:pPr>
        <w:ind w:left="360" w:hanging="360"/>
      </w:pPr>
      <w:rPr>
        <w:rFonts w:ascii="Arial" w:hAnsi="Arial" w:cs="Arial" w:hint="default"/>
        <w:b w:val="0"/>
        <w:bCs w:val="0"/>
        <w:i w:val="0"/>
        <w:iCs w:val="0"/>
        <w:sz w:val="22"/>
        <w:szCs w:val="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nsid w:val="38136EA2"/>
    <w:multiLevelType w:val="multilevel"/>
    <w:tmpl w:val="E4286616"/>
    <w:lvl w:ilvl="0">
      <w:start w:val="1"/>
      <w:numFmt w:val="upperRoman"/>
      <w:lvlText w:val="%1."/>
      <w:lvlJc w:val="right"/>
      <w:pPr>
        <w:ind w:left="360" w:hanging="360"/>
      </w:pPr>
      <w:rPr>
        <w:rFonts w:ascii="Arial" w:hAnsi="Arial" w:cs="Arial" w:hint="default"/>
        <w:b/>
        <w:bCs/>
        <w:i w:val="0"/>
        <w:iCs w:val="0"/>
        <w:sz w:val="22"/>
        <w:szCs w:val="22"/>
      </w:rPr>
    </w:lvl>
    <w:lvl w:ilvl="1">
      <w:start w:val="1"/>
      <w:numFmt w:val="decimal"/>
      <w:lvlText w:val="%1.%2"/>
      <w:lvlJc w:val="left"/>
      <w:pPr>
        <w:tabs>
          <w:tab w:val="num" w:pos="576"/>
        </w:tabs>
        <w:ind w:left="576" w:hanging="576"/>
      </w:pPr>
      <w:rPr>
        <w:rFonts w:hint="default"/>
        <w:b/>
        <w:bCs/>
      </w:rPr>
    </w:lvl>
    <w:lvl w:ilvl="2">
      <w:start w:val="1"/>
      <w:numFmt w:val="decimal"/>
      <w:pStyle w:val="Heading3"/>
      <w:lvlText w:val="%1.%2.%3"/>
      <w:lvlJc w:val="left"/>
      <w:pPr>
        <w:tabs>
          <w:tab w:val="num" w:pos="0"/>
        </w:tabs>
        <w:ind w:left="720" w:hanging="720"/>
      </w:pPr>
      <w:rPr>
        <w:rFonts w:hint="default"/>
      </w:rPr>
    </w:lvl>
    <w:lvl w:ilvl="3">
      <w:start w:val="1"/>
      <w:numFmt w:val="decimal"/>
      <w:pStyle w:val="Heading4"/>
      <w:lvlText w:val="%1.%2.%3.%4"/>
      <w:lvlJc w:val="left"/>
      <w:pPr>
        <w:tabs>
          <w:tab w:val="num" w:pos="0"/>
        </w:tabs>
        <w:ind w:left="864" w:hanging="864"/>
      </w:pPr>
      <w:rPr>
        <w:rFonts w:hint="default"/>
      </w:rPr>
    </w:lvl>
    <w:lvl w:ilvl="4">
      <w:start w:val="1"/>
      <w:numFmt w:val="decimal"/>
      <w:pStyle w:val="Heading5"/>
      <w:lvlText w:val="%1.%2.%3.%4.%5"/>
      <w:lvlJc w:val="left"/>
      <w:pPr>
        <w:tabs>
          <w:tab w:val="num" w:pos="0"/>
        </w:tabs>
        <w:ind w:left="1008" w:hanging="1008"/>
      </w:pPr>
      <w:rPr>
        <w:rFonts w:hint="default"/>
      </w:rPr>
    </w:lvl>
    <w:lvl w:ilvl="5">
      <w:start w:val="1"/>
      <w:numFmt w:val="decimal"/>
      <w:pStyle w:val="Heading6"/>
      <w:lvlText w:val="%1.%2.%3.%4.%5.%6"/>
      <w:lvlJc w:val="left"/>
      <w:pPr>
        <w:tabs>
          <w:tab w:val="num" w:pos="0"/>
        </w:tabs>
        <w:ind w:left="1152" w:hanging="1152"/>
      </w:pPr>
      <w:rPr>
        <w:rFonts w:hint="default"/>
      </w:rPr>
    </w:lvl>
    <w:lvl w:ilvl="6">
      <w:start w:val="1"/>
      <w:numFmt w:val="decimal"/>
      <w:pStyle w:val="Heading7"/>
      <w:lvlText w:val="%1.%2.%3.%4.%5.%6.%7"/>
      <w:lvlJc w:val="left"/>
      <w:pPr>
        <w:tabs>
          <w:tab w:val="num" w:pos="0"/>
        </w:tabs>
        <w:ind w:left="1296" w:hanging="1296"/>
      </w:pPr>
      <w:rPr>
        <w:rFonts w:hint="default"/>
      </w:rPr>
    </w:lvl>
    <w:lvl w:ilvl="7">
      <w:start w:val="1"/>
      <w:numFmt w:val="decimal"/>
      <w:pStyle w:val="Heading8"/>
      <w:lvlText w:val="%1.%2.%3.%4.%5.%6.%7.%8"/>
      <w:lvlJc w:val="left"/>
      <w:pPr>
        <w:tabs>
          <w:tab w:val="num" w:pos="0"/>
        </w:tabs>
        <w:ind w:left="1440" w:hanging="1440"/>
      </w:pPr>
      <w:rPr>
        <w:rFonts w:hint="default"/>
      </w:rPr>
    </w:lvl>
    <w:lvl w:ilvl="8">
      <w:start w:val="1"/>
      <w:numFmt w:val="decimal"/>
      <w:pStyle w:val="Heading9"/>
      <w:lvlText w:val="%1.%2.%3.%4.%5.%6.%7.%8.%9"/>
      <w:lvlJc w:val="left"/>
      <w:pPr>
        <w:tabs>
          <w:tab w:val="num" w:pos="0"/>
        </w:tabs>
        <w:ind w:left="1584" w:hanging="1584"/>
      </w:pPr>
      <w:rPr>
        <w:rFonts w:hint="default"/>
      </w:rPr>
    </w:lvl>
  </w:abstractNum>
  <w:abstractNum w:abstractNumId="4">
    <w:nsid w:val="535B2055"/>
    <w:multiLevelType w:val="hybridMultilevel"/>
    <w:tmpl w:val="2E7C9EFE"/>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nsid w:val="678F205D"/>
    <w:multiLevelType w:val="hybridMultilevel"/>
    <w:tmpl w:val="70E09D9A"/>
    <w:lvl w:ilvl="0" w:tplc="DE7CEC2C">
      <w:start w:val="1"/>
      <w:numFmt w:val="decimal"/>
      <w:lvlText w:val="%1."/>
      <w:lvlJc w:val="left"/>
      <w:pPr>
        <w:ind w:left="360" w:hanging="360"/>
      </w:pPr>
      <w:rPr>
        <w:rFonts w:ascii="Arial" w:hAnsi="Arial" w:cs="Arial" w:hint="default"/>
        <w:b w:val="0"/>
        <w:bCs w:val="0"/>
        <w:i w:val="0"/>
        <w:iCs w:val="0"/>
        <w:sz w:val="22"/>
        <w:szCs w:val="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
    <w:nsid w:val="6E0E51FC"/>
    <w:multiLevelType w:val="hybridMultilevel"/>
    <w:tmpl w:val="66A893B2"/>
    <w:lvl w:ilvl="0" w:tplc="DE7CEC2C">
      <w:start w:val="1"/>
      <w:numFmt w:val="decimal"/>
      <w:lvlText w:val="%1."/>
      <w:lvlJc w:val="left"/>
      <w:pPr>
        <w:ind w:left="360" w:hanging="360"/>
      </w:pPr>
      <w:rPr>
        <w:rFonts w:ascii="Arial" w:hAnsi="Arial" w:cs="Arial" w:hint="default"/>
        <w:b w:val="0"/>
        <w:bCs w:val="0"/>
        <w:i w:val="0"/>
        <w:iCs w:val="0"/>
        <w:sz w:val="22"/>
        <w:szCs w:val="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3"/>
  </w:num>
  <w:num w:numId="2">
    <w:abstractNumId w:val="3"/>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2"/>
  </w:num>
  <w:num w:numId="18">
    <w:abstractNumId w:val="5"/>
  </w:num>
  <w:num w:numId="19">
    <w:abstractNumId w:val="6"/>
  </w:num>
  <w:num w:numId="20">
    <w:abstractNumId w:val="4"/>
  </w:num>
  <w:num w:numId="21">
    <w:abstractNumId w:val="1"/>
  </w:num>
  <w:num w:numId="2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defaultTabStop w:val="720"/>
  <w:hyphenationZone w:val="425"/>
  <w:doNotHyphenateCaps/>
  <w:characterSpacingControl w:val="doNotCompress"/>
  <w:doNotValidateAgainstSchema/>
  <w:doNotDemarcateInvalidXml/>
  <w:compat/>
  <w:rsids>
    <w:rsidRoot w:val="008A2196"/>
    <w:rsid w:val="000225BC"/>
    <w:rsid w:val="00094F94"/>
    <w:rsid w:val="000D7EC9"/>
    <w:rsid w:val="0011474B"/>
    <w:rsid w:val="0013609F"/>
    <w:rsid w:val="00193B6C"/>
    <w:rsid w:val="001C3CC0"/>
    <w:rsid w:val="00214217"/>
    <w:rsid w:val="00232588"/>
    <w:rsid w:val="002D4FCB"/>
    <w:rsid w:val="002D5581"/>
    <w:rsid w:val="002E1B2F"/>
    <w:rsid w:val="0031385B"/>
    <w:rsid w:val="00351317"/>
    <w:rsid w:val="003602AB"/>
    <w:rsid w:val="0036514E"/>
    <w:rsid w:val="00373492"/>
    <w:rsid w:val="0038282F"/>
    <w:rsid w:val="003B6F97"/>
    <w:rsid w:val="003C0341"/>
    <w:rsid w:val="003C466C"/>
    <w:rsid w:val="003E791A"/>
    <w:rsid w:val="00492835"/>
    <w:rsid w:val="004C3A67"/>
    <w:rsid w:val="004D424D"/>
    <w:rsid w:val="00501CBB"/>
    <w:rsid w:val="00571F2E"/>
    <w:rsid w:val="00596FEE"/>
    <w:rsid w:val="005A0774"/>
    <w:rsid w:val="005A205C"/>
    <w:rsid w:val="005D6002"/>
    <w:rsid w:val="005E6615"/>
    <w:rsid w:val="006312C6"/>
    <w:rsid w:val="007067D2"/>
    <w:rsid w:val="007119EA"/>
    <w:rsid w:val="00717D33"/>
    <w:rsid w:val="007264A4"/>
    <w:rsid w:val="00787D46"/>
    <w:rsid w:val="007D26AA"/>
    <w:rsid w:val="007D7855"/>
    <w:rsid w:val="007D7CE0"/>
    <w:rsid w:val="00802389"/>
    <w:rsid w:val="008468EB"/>
    <w:rsid w:val="00855A31"/>
    <w:rsid w:val="00871BD1"/>
    <w:rsid w:val="008A2196"/>
    <w:rsid w:val="008D70AD"/>
    <w:rsid w:val="008D77FF"/>
    <w:rsid w:val="008F18F1"/>
    <w:rsid w:val="008F2B1A"/>
    <w:rsid w:val="009140B8"/>
    <w:rsid w:val="00930A5C"/>
    <w:rsid w:val="00942984"/>
    <w:rsid w:val="0099626B"/>
    <w:rsid w:val="00996C33"/>
    <w:rsid w:val="009C7326"/>
    <w:rsid w:val="00A01F58"/>
    <w:rsid w:val="00A41E6A"/>
    <w:rsid w:val="00A66692"/>
    <w:rsid w:val="00A73813"/>
    <w:rsid w:val="00AC62C3"/>
    <w:rsid w:val="00AD6F21"/>
    <w:rsid w:val="00AE5BF0"/>
    <w:rsid w:val="00B2494A"/>
    <w:rsid w:val="00B40D64"/>
    <w:rsid w:val="00B552ED"/>
    <w:rsid w:val="00BA662D"/>
    <w:rsid w:val="00C1308A"/>
    <w:rsid w:val="00C152FB"/>
    <w:rsid w:val="00C27BD8"/>
    <w:rsid w:val="00C361E7"/>
    <w:rsid w:val="00C44444"/>
    <w:rsid w:val="00C56B4C"/>
    <w:rsid w:val="00CA21DD"/>
    <w:rsid w:val="00CA2F1E"/>
    <w:rsid w:val="00CA3D80"/>
    <w:rsid w:val="00D1408E"/>
    <w:rsid w:val="00D324C6"/>
    <w:rsid w:val="00D4344D"/>
    <w:rsid w:val="00D509FC"/>
    <w:rsid w:val="00D51276"/>
    <w:rsid w:val="00D5293D"/>
    <w:rsid w:val="00D9111C"/>
    <w:rsid w:val="00DD1F40"/>
    <w:rsid w:val="00DF5ACB"/>
    <w:rsid w:val="00E058AE"/>
    <w:rsid w:val="00E27D7C"/>
    <w:rsid w:val="00E3402F"/>
    <w:rsid w:val="00E66056"/>
    <w:rsid w:val="00EA7F48"/>
    <w:rsid w:val="00EB0B22"/>
    <w:rsid w:val="00EE092C"/>
    <w:rsid w:val="00F31250"/>
    <w:rsid w:val="00F35463"/>
    <w:rsid w:val="00F3701F"/>
    <w:rsid w:val="00F40FCD"/>
    <w:rsid w:val="00F53E40"/>
    <w:rsid w:val="00F651A9"/>
    <w:rsid w:val="00F66C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colormenu v:ext="edit" fillcolor="none [3213]" strokecolor="none"/>
    </o:shapedefaults>
    <o:shapelayout v:ext="edit">
      <o:idmap v:ext="edit" data="1"/>
      <o:rules v:ext="edit">
        <o:r id="V:Rule4" type="connector" idref="#_x0000_s1026"/>
        <o:r id="V:Rule5" type="connector" idref="#_x0000_s1029"/>
        <o:r id="V:Rule6"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8D77FF"/>
    <w:pPr>
      <w:spacing w:after="240"/>
      <w:jc w:val="both"/>
    </w:pPr>
    <w:rPr>
      <w:rFonts w:ascii="Arial" w:hAnsi="Arial" w:cs="Arial"/>
      <w:sz w:val="22"/>
      <w:szCs w:val="22"/>
    </w:rPr>
  </w:style>
  <w:style w:type="paragraph" w:styleId="Heading1">
    <w:name w:val="heading 1"/>
    <w:aliases w:val="Fab-1,Name"/>
    <w:basedOn w:val="Normal"/>
    <w:next w:val="Normal"/>
    <w:link w:val="Heading1Char"/>
    <w:uiPriority w:val="99"/>
    <w:qFormat/>
    <w:rsid w:val="008D77FF"/>
    <w:pPr>
      <w:keepNext/>
      <w:tabs>
        <w:tab w:val="left" w:pos="397"/>
        <w:tab w:val="left" w:pos="432"/>
        <w:tab w:val="left" w:pos="1004"/>
      </w:tabs>
      <w:overflowPunct w:val="0"/>
      <w:autoSpaceDE w:val="0"/>
      <w:autoSpaceDN w:val="0"/>
      <w:adjustRightInd w:val="0"/>
      <w:spacing w:before="240"/>
      <w:textAlignment w:val="baseline"/>
      <w:outlineLvl w:val="0"/>
    </w:pPr>
    <w:rPr>
      <w:b/>
      <w:bCs/>
      <w:sz w:val="24"/>
      <w:szCs w:val="24"/>
      <w:lang w:val="es-ES_tradnl"/>
    </w:rPr>
  </w:style>
  <w:style w:type="paragraph" w:styleId="Heading2">
    <w:name w:val="heading 2"/>
    <w:aliases w:val="H2,Fab-2,Reference"/>
    <w:basedOn w:val="Normal"/>
    <w:next w:val="Normal"/>
    <w:link w:val="Heading2Char"/>
    <w:uiPriority w:val="99"/>
    <w:qFormat/>
    <w:rsid w:val="00930A5C"/>
    <w:pPr>
      <w:keepNext/>
      <w:overflowPunct w:val="0"/>
      <w:autoSpaceDE w:val="0"/>
      <w:autoSpaceDN w:val="0"/>
      <w:adjustRightInd w:val="0"/>
      <w:textAlignment w:val="baseline"/>
      <w:outlineLvl w:val="1"/>
    </w:pPr>
    <w:rPr>
      <w:b/>
      <w:bCs/>
      <w:lang w:val="es-ES_tradnl"/>
    </w:rPr>
  </w:style>
  <w:style w:type="paragraph" w:styleId="Heading3">
    <w:name w:val="heading 3"/>
    <w:basedOn w:val="Normal"/>
    <w:next w:val="Normal"/>
    <w:link w:val="Heading3Char"/>
    <w:uiPriority w:val="99"/>
    <w:qFormat/>
    <w:rsid w:val="00930A5C"/>
    <w:pPr>
      <w:keepNext/>
      <w:numPr>
        <w:ilvl w:val="2"/>
        <w:numId w:val="16"/>
      </w:numPr>
      <w:tabs>
        <w:tab w:val="left" w:pos="720"/>
      </w:tabs>
      <w:overflowPunct w:val="0"/>
      <w:autoSpaceDE w:val="0"/>
      <w:autoSpaceDN w:val="0"/>
      <w:adjustRightInd w:val="0"/>
      <w:spacing w:before="240" w:after="60"/>
      <w:textAlignment w:val="baseline"/>
      <w:outlineLvl w:val="2"/>
    </w:pPr>
    <w:rPr>
      <w:b/>
      <w:bCs/>
      <w:sz w:val="26"/>
      <w:szCs w:val="26"/>
      <w:lang w:val="es-ES_tradnl"/>
    </w:rPr>
  </w:style>
  <w:style w:type="paragraph" w:styleId="Heading4">
    <w:name w:val="heading 4"/>
    <w:basedOn w:val="Normal"/>
    <w:next w:val="Normal"/>
    <w:link w:val="Heading4Char"/>
    <w:uiPriority w:val="99"/>
    <w:qFormat/>
    <w:rsid w:val="00930A5C"/>
    <w:pPr>
      <w:keepNext/>
      <w:numPr>
        <w:ilvl w:val="3"/>
        <w:numId w:val="16"/>
      </w:numPr>
      <w:tabs>
        <w:tab w:val="left" w:pos="864"/>
      </w:tabs>
      <w:overflowPunct w:val="0"/>
      <w:autoSpaceDE w:val="0"/>
      <w:autoSpaceDN w:val="0"/>
      <w:adjustRightInd w:val="0"/>
      <w:spacing w:before="240" w:after="60"/>
      <w:textAlignment w:val="baseline"/>
      <w:outlineLvl w:val="3"/>
    </w:pPr>
    <w:rPr>
      <w:b/>
      <w:bCs/>
      <w:sz w:val="28"/>
      <w:szCs w:val="28"/>
      <w:lang w:val="es-ES_tradnl"/>
    </w:rPr>
  </w:style>
  <w:style w:type="paragraph" w:styleId="Heading5">
    <w:name w:val="heading 5"/>
    <w:basedOn w:val="Normal"/>
    <w:next w:val="Normal"/>
    <w:link w:val="Heading5Char"/>
    <w:uiPriority w:val="99"/>
    <w:qFormat/>
    <w:rsid w:val="00930A5C"/>
    <w:pPr>
      <w:numPr>
        <w:ilvl w:val="4"/>
        <w:numId w:val="16"/>
      </w:numPr>
      <w:tabs>
        <w:tab w:val="left" w:pos="1008"/>
      </w:tabs>
      <w:overflowPunct w:val="0"/>
      <w:autoSpaceDE w:val="0"/>
      <w:autoSpaceDN w:val="0"/>
      <w:adjustRightInd w:val="0"/>
      <w:spacing w:before="240" w:after="60"/>
      <w:textAlignment w:val="baseline"/>
      <w:outlineLvl w:val="4"/>
    </w:pPr>
    <w:rPr>
      <w:b/>
      <w:bCs/>
      <w:i/>
      <w:iCs/>
      <w:sz w:val="26"/>
      <w:szCs w:val="26"/>
      <w:lang w:val="es-ES_tradnl"/>
    </w:rPr>
  </w:style>
  <w:style w:type="paragraph" w:styleId="Heading6">
    <w:name w:val="heading 6"/>
    <w:basedOn w:val="Normal"/>
    <w:next w:val="Normal"/>
    <w:link w:val="Heading6Char"/>
    <w:uiPriority w:val="99"/>
    <w:qFormat/>
    <w:rsid w:val="00930A5C"/>
    <w:pPr>
      <w:numPr>
        <w:ilvl w:val="5"/>
        <w:numId w:val="16"/>
      </w:numPr>
      <w:tabs>
        <w:tab w:val="left" w:pos="1152"/>
      </w:tabs>
      <w:overflowPunct w:val="0"/>
      <w:autoSpaceDE w:val="0"/>
      <w:autoSpaceDN w:val="0"/>
      <w:adjustRightInd w:val="0"/>
      <w:spacing w:before="240" w:after="60"/>
      <w:textAlignment w:val="baseline"/>
      <w:outlineLvl w:val="5"/>
    </w:pPr>
    <w:rPr>
      <w:b/>
      <w:bCs/>
      <w:lang w:val="es-ES_tradnl"/>
    </w:rPr>
  </w:style>
  <w:style w:type="paragraph" w:styleId="Heading7">
    <w:name w:val="heading 7"/>
    <w:basedOn w:val="Normal"/>
    <w:next w:val="Normal"/>
    <w:link w:val="Heading7Char"/>
    <w:uiPriority w:val="99"/>
    <w:qFormat/>
    <w:rsid w:val="00930A5C"/>
    <w:pPr>
      <w:numPr>
        <w:ilvl w:val="6"/>
        <w:numId w:val="16"/>
      </w:numPr>
      <w:tabs>
        <w:tab w:val="left" w:pos="1296"/>
      </w:tabs>
      <w:overflowPunct w:val="0"/>
      <w:autoSpaceDE w:val="0"/>
      <w:autoSpaceDN w:val="0"/>
      <w:adjustRightInd w:val="0"/>
      <w:spacing w:before="240" w:after="60"/>
      <w:textAlignment w:val="baseline"/>
      <w:outlineLvl w:val="6"/>
    </w:pPr>
    <w:rPr>
      <w:lang w:val="es-ES_tradnl"/>
    </w:rPr>
  </w:style>
  <w:style w:type="paragraph" w:styleId="Heading8">
    <w:name w:val="heading 8"/>
    <w:basedOn w:val="Normal"/>
    <w:next w:val="Normal"/>
    <w:link w:val="Heading8Char"/>
    <w:uiPriority w:val="99"/>
    <w:qFormat/>
    <w:rsid w:val="00930A5C"/>
    <w:pPr>
      <w:numPr>
        <w:ilvl w:val="7"/>
        <w:numId w:val="16"/>
      </w:numPr>
      <w:tabs>
        <w:tab w:val="left" w:pos="1440"/>
      </w:tabs>
      <w:overflowPunct w:val="0"/>
      <w:autoSpaceDE w:val="0"/>
      <w:autoSpaceDN w:val="0"/>
      <w:adjustRightInd w:val="0"/>
      <w:spacing w:before="240" w:after="60"/>
      <w:textAlignment w:val="baseline"/>
      <w:outlineLvl w:val="7"/>
    </w:pPr>
    <w:rPr>
      <w:i/>
      <w:iCs/>
      <w:lang w:val="es-ES_tradnl"/>
    </w:rPr>
  </w:style>
  <w:style w:type="paragraph" w:styleId="Heading9">
    <w:name w:val="heading 9"/>
    <w:basedOn w:val="Normal"/>
    <w:next w:val="Normal"/>
    <w:link w:val="Heading9Char"/>
    <w:uiPriority w:val="99"/>
    <w:qFormat/>
    <w:rsid w:val="00930A5C"/>
    <w:pPr>
      <w:numPr>
        <w:ilvl w:val="8"/>
        <w:numId w:val="16"/>
      </w:numPr>
      <w:tabs>
        <w:tab w:val="left" w:pos="1584"/>
      </w:tabs>
      <w:overflowPunct w:val="0"/>
      <w:autoSpaceDE w:val="0"/>
      <w:autoSpaceDN w:val="0"/>
      <w:adjustRightInd w:val="0"/>
      <w:spacing w:before="240" w:after="60"/>
      <w:textAlignment w:val="baseline"/>
      <w:outlineLvl w:val="8"/>
    </w:pPr>
    <w:rPr>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Fab-1 Char,Name Char"/>
    <w:basedOn w:val="DefaultParagraphFont"/>
    <w:link w:val="Heading1"/>
    <w:uiPriority w:val="99"/>
    <w:locked/>
    <w:rsid w:val="008D77FF"/>
    <w:rPr>
      <w:rFonts w:ascii="Arial" w:hAnsi="Arial" w:cs="Arial"/>
      <w:b/>
      <w:bCs/>
      <w:sz w:val="24"/>
      <w:szCs w:val="24"/>
      <w:lang w:val="es-ES_tradnl" w:eastAsia="es-ES"/>
    </w:rPr>
  </w:style>
  <w:style w:type="character" w:customStyle="1" w:styleId="Heading2Char">
    <w:name w:val="Heading 2 Char"/>
    <w:aliases w:val="H2 Char,Fab-2 Char,Reference Char"/>
    <w:basedOn w:val="DefaultParagraphFont"/>
    <w:link w:val="Heading2"/>
    <w:uiPriority w:val="99"/>
    <w:locked/>
    <w:rsid w:val="00C152FB"/>
    <w:rPr>
      <w:rFonts w:ascii="Arial" w:hAnsi="Arial" w:cs="Arial"/>
      <w:b/>
      <w:bCs/>
      <w:sz w:val="24"/>
      <w:szCs w:val="24"/>
      <w:lang w:val="es-ES_tradnl" w:eastAsia="es-ES"/>
    </w:rPr>
  </w:style>
  <w:style w:type="character" w:customStyle="1" w:styleId="Heading3Char">
    <w:name w:val="Heading 3 Char"/>
    <w:basedOn w:val="DefaultParagraphFont"/>
    <w:link w:val="Heading3"/>
    <w:uiPriority w:val="99"/>
    <w:locked/>
    <w:rsid w:val="00C152FB"/>
    <w:rPr>
      <w:rFonts w:ascii="Arial" w:hAnsi="Arial" w:cs="Arial"/>
      <w:b/>
      <w:bCs/>
      <w:sz w:val="26"/>
      <w:szCs w:val="26"/>
      <w:lang w:val="es-ES_tradnl" w:eastAsia="es-ES"/>
    </w:rPr>
  </w:style>
  <w:style w:type="character" w:customStyle="1" w:styleId="Heading4Char">
    <w:name w:val="Heading 4 Char"/>
    <w:basedOn w:val="DefaultParagraphFont"/>
    <w:link w:val="Heading4"/>
    <w:uiPriority w:val="99"/>
    <w:locked/>
    <w:rsid w:val="00C152FB"/>
    <w:rPr>
      <w:b/>
      <w:bCs/>
      <w:sz w:val="28"/>
      <w:szCs w:val="28"/>
      <w:lang w:val="es-ES_tradnl" w:eastAsia="es-ES"/>
    </w:rPr>
  </w:style>
  <w:style w:type="character" w:customStyle="1" w:styleId="Heading5Char">
    <w:name w:val="Heading 5 Char"/>
    <w:basedOn w:val="DefaultParagraphFont"/>
    <w:link w:val="Heading5"/>
    <w:uiPriority w:val="99"/>
    <w:locked/>
    <w:rsid w:val="00C152FB"/>
    <w:rPr>
      <w:b/>
      <w:bCs/>
      <w:i/>
      <w:iCs/>
      <w:sz w:val="26"/>
      <w:szCs w:val="26"/>
      <w:lang w:val="es-ES_tradnl" w:eastAsia="es-ES"/>
    </w:rPr>
  </w:style>
  <w:style w:type="character" w:customStyle="1" w:styleId="Heading6Char">
    <w:name w:val="Heading 6 Char"/>
    <w:basedOn w:val="DefaultParagraphFont"/>
    <w:link w:val="Heading6"/>
    <w:uiPriority w:val="99"/>
    <w:locked/>
    <w:rsid w:val="00C152FB"/>
    <w:rPr>
      <w:b/>
      <w:bCs/>
      <w:sz w:val="22"/>
      <w:szCs w:val="22"/>
      <w:lang w:val="es-ES_tradnl" w:eastAsia="es-ES"/>
    </w:rPr>
  </w:style>
  <w:style w:type="character" w:customStyle="1" w:styleId="Heading7Char">
    <w:name w:val="Heading 7 Char"/>
    <w:basedOn w:val="DefaultParagraphFont"/>
    <w:link w:val="Heading7"/>
    <w:uiPriority w:val="99"/>
    <w:locked/>
    <w:rsid w:val="00C152FB"/>
    <w:rPr>
      <w:sz w:val="24"/>
      <w:szCs w:val="24"/>
      <w:lang w:val="es-ES_tradnl" w:eastAsia="es-ES"/>
    </w:rPr>
  </w:style>
  <w:style w:type="character" w:customStyle="1" w:styleId="Heading8Char">
    <w:name w:val="Heading 8 Char"/>
    <w:basedOn w:val="DefaultParagraphFont"/>
    <w:link w:val="Heading8"/>
    <w:uiPriority w:val="99"/>
    <w:locked/>
    <w:rsid w:val="00C152FB"/>
    <w:rPr>
      <w:i/>
      <w:iCs/>
      <w:sz w:val="24"/>
      <w:szCs w:val="24"/>
      <w:lang w:val="es-ES_tradnl" w:eastAsia="es-ES"/>
    </w:rPr>
  </w:style>
  <w:style w:type="character" w:customStyle="1" w:styleId="Heading9Char">
    <w:name w:val="Heading 9 Char"/>
    <w:basedOn w:val="DefaultParagraphFont"/>
    <w:link w:val="Heading9"/>
    <w:uiPriority w:val="99"/>
    <w:locked/>
    <w:rsid w:val="00C152FB"/>
    <w:rPr>
      <w:rFonts w:ascii="Arial" w:hAnsi="Arial" w:cs="Arial"/>
      <w:sz w:val="22"/>
      <w:szCs w:val="22"/>
      <w:lang w:val="es-ES_tradnl" w:eastAsia="es-ES"/>
    </w:rPr>
  </w:style>
  <w:style w:type="paragraph" w:styleId="TOC1">
    <w:name w:val="toc 1"/>
    <w:basedOn w:val="Normal"/>
    <w:next w:val="Normal"/>
    <w:autoRedefine/>
    <w:uiPriority w:val="99"/>
    <w:semiHidden/>
    <w:rsid w:val="00930A5C"/>
    <w:pPr>
      <w:spacing w:after="100" w:line="276" w:lineRule="auto"/>
    </w:pPr>
    <w:rPr>
      <w:b/>
      <w:bCs/>
      <w:lang w:val="en-US" w:eastAsia="en-US"/>
    </w:rPr>
  </w:style>
  <w:style w:type="paragraph" w:styleId="TOC2">
    <w:name w:val="toc 2"/>
    <w:basedOn w:val="Normal"/>
    <w:next w:val="Normal"/>
    <w:autoRedefine/>
    <w:uiPriority w:val="99"/>
    <w:semiHidden/>
    <w:rsid w:val="00930A5C"/>
    <w:pPr>
      <w:ind w:left="220"/>
    </w:pPr>
    <w:rPr>
      <w:smallCaps/>
      <w:lang w:val="es-CL"/>
    </w:rPr>
  </w:style>
  <w:style w:type="paragraph" w:styleId="TOC3">
    <w:name w:val="toc 3"/>
    <w:basedOn w:val="Normal"/>
    <w:next w:val="Normal"/>
    <w:autoRedefine/>
    <w:uiPriority w:val="99"/>
    <w:semiHidden/>
    <w:rsid w:val="00930A5C"/>
    <w:pPr>
      <w:spacing w:after="100" w:line="276" w:lineRule="auto"/>
      <w:ind w:left="440"/>
    </w:pPr>
    <w:rPr>
      <w:sz w:val="20"/>
      <w:szCs w:val="20"/>
      <w:lang w:val="en-US" w:eastAsia="en-US"/>
    </w:rPr>
  </w:style>
  <w:style w:type="paragraph" w:styleId="Caption">
    <w:name w:val="caption"/>
    <w:basedOn w:val="Normal"/>
    <w:next w:val="Normal"/>
    <w:uiPriority w:val="99"/>
    <w:qFormat/>
    <w:rsid w:val="00C152FB"/>
    <w:pPr>
      <w:jc w:val="center"/>
    </w:pPr>
    <w:rPr>
      <w:b/>
      <w:bCs/>
      <w:u w:val="single"/>
    </w:rPr>
  </w:style>
  <w:style w:type="paragraph" w:styleId="Title">
    <w:name w:val="Title"/>
    <w:basedOn w:val="Normal"/>
    <w:link w:val="TitleChar"/>
    <w:uiPriority w:val="99"/>
    <w:qFormat/>
    <w:rsid w:val="00930A5C"/>
    <w:pPr>
      <w:overflowPunct w:val="0"/>
      <w:autoSpaceDE w:val="0"/>
      <w:autoSpaceDN w:val="0"/>
      <w:adjustRightInd w:val="0"/>
      <w:jc w:val="center"/>
      <w:textAlignment w:val="baseline"/>
    </w:pPr>
    <w:rPr>
      <w:b/>
      <w:bCs/>
      <w:lang w:val="es-ES_tradnl"/>
    </w:rPr>
  </w:style>
  <w:style w:type="character" w:customStyle="1" w:styleId="TitleChar">
    <w:name w:val="Title Char"/>
    <w:basedOn w:val="DefaultParagraphFont"/>
    <w:link w:val="Title"/>
    <w:uiPriority w:val="99"/>
    <w:locked/>
    <w:rsid w:val="00C152FB"/>
    <w:rPr>
      <w:rFonts w:ascii="Arial" w:hAnsi="Arial" w:cs="Arial"/>
      <w:b/>
      <w:bCs/>
      <w:sz w:val="24"/>
      <w:szCs w:val="24"/>
      <w:lang w:val="es-ES_tradnl" w:eastAsia="es-ES"/>
    </w:rPr>
  </w:style>
  <w:style w:type="paragraph" w:styleId="TOCHeading">
    <w:name w:val="TOC Heading"/>
    <w:basedOn w:val="Heading1"/>
    <w:next w:val="Normal"/>
    <w:uiPriority w:val="99"/>
    <w:qFormat/>
    <w:rsid w:val="00930A5C"/>
    <w:pPr>
      <w:keepLines/>
      <w:tabs>
        <w:tab w:val="clear" w:pos="432"/>
        <w:tab w:val="clear" w:pos="1004"/>
        <w:tab w:val="left" w:pos="0"/>
      </w:tabs>
      <w:overflowPunct/>
      <w:autoSpaceDE/>
      <w:autoSpaceDN/>
      <w:adjustRightInd/>
      <w:spacing w:before="480" w:line="276" w:lineRule="auto"/>
      <w:jc w:val="left"/>
      <w:textAlignment w:val="auto"/>
      <w:outlineLvl w:val="9"/>
    </w:pPr>
    <w:rPr>
      <w:rFonts w:ascii="Cambria" w:hAnsi="Cambria" w:cs="Cambria"/>
      <w:color w:val="365F91"/>
      <w:sz w:val="28"/>
      <w:szCs w:val="28"/>
      <w:lang w:val="en-US" w:eastAsia="en-US"/>
    </w:rPr>
  </w:style>
  <w:style w:type="paragraph" w:styleId="ListParagraph">
    <w:name w:val="List Paragraph"/>
    <w:basedOn w:val="Normal"/>
    <w:uiPriority w:val="99"/>
    <w:qFormat/>
    <w:rsid w:val="008D77FF"/>
    <w:pPr>
      <w:ind w:left="720"/>
    </w:pPr>
  </w:style>
  <w:style w:type="table" w:styleId="TableGrid">
    <w:name w:val="Table Grid"/>
    <w:basedOn w:val="TableNormal"/>
    <w:uiPriority w:val="99"/>
    <w:rsid w:val="00C44444"/>
    <w:rPr>
      <w:rFonts w:ascii="Arial" w:hAnsi="Ari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7D7CE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D7CE0"/>
    <w:rPr>
      <w:rFonts w:ascii="Tahoma" w:hAnsi="Tahoma" w:cs="Tahoma"/>
      <w:sz w:val="16"/>
      <w:szCs w:val="16"/>
      <w:lang w:val="es-ES" w:eastAsia="es-ES"/>
    </w:rPr>
  </w:style>
  <w:style w:type="table" w:customStyle="1" w:styleId="Sombreadoclaro1">
    <w:name w:val="Sombreado claro1"/>
    <w:basedOn w:val="TableNormal"/>
    <w:uiPriority w:val="99"/>
    <w:rsid w:val="006312C6"/>
    <w:rPr>
      <w:rFonts w:ascii="Arial" w:hAnsi="Arial"/>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PlaceholderText">
    <w:name w:val="Placeholder Text"/>
    <w:basedOn w:val="DefaultParagraphFont"/>
    <w:uiPriority w:val="99"/>
    <w:semiHidden/>
    <w:rsid w:val="00094F94"/>
    <w:rPr>
      <w:color w:val="808080"/>
    </w:rPr>
  </w:style>
</w:styles>
</file>

<file path=word/webSettings.xml><?xml version="1.0" encoding="utf-8"?>
<w:webSettings xmlns:r="http://schemas.openxmlformats.org/officeDocument/2006/relationships" xmlns:w="http://schemas.openxmlformats.org/wordprocessingml/2006/main">
  <w:divs>
    <w:div w:id="12820339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EC48DF-991A-4275-876E-184B5242B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830</Words>
  <Characters>4731</Characters>
  <Application>Microsoft Office Word</Application>
  <DocSecurity>0</DocSecurity>
  <Lines>39</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lpstr> </vt:lpstr>
    </vt:vector>
  </TitlesOfParts>
  <Company>Acer</Company>
  <LinksUpToDate>false</LinksUpToDate>
  <CharactersWithSpaces>5550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Valued Acer Customer</dc:creator>
  <cp:keywords/>
  <dc:description/>
  <cp:lastModifiedBy>Valued Acer Customer</cp:lastModifiedBy>
  <cp:revision>2</cp:revision>
  <dcterms:created xsi:type="dcterms:W3CDTF">2010-01-18T12:11:00Z</dcterms:created>
  <dcterms:modified xsi:type="dcterms:W3CDTF">2010-01-18T12:11:00Z</dcterms:modified>
</cp:coreProperties>
</file>